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仿宋_GB2312"/>
          <w:kern w:val="0"/>
          <w:szCs w:val="32"/>
        </w:rPr>
      </w:pPr>
      <w:r>
        <w:rPr>
          <w:rFonts w:hint="eastAsia" w:ascii="黑体" w:hAnsi="黑体" w:eastAsia="黑体" w:cs="仿宋_GB2312"/>
          <w:kern w:val="0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年度教育改革发展专项课题指南</w:t>
      </w:r>
    </w:p>
    <w:p>
      <w:pPr>
        <w:spacing w:line="600" w:lineRule="exact"/>
        <w:jc w:val="left"/>
        <w:rPr>
          <w:rFonts w:hint="eastAsia" w:ascii="仿宋_GB2312" w:hAnsi="仿宋_GB2312" w:cs="仿宋_GB2312"/>
          <w:kern w:val="0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习近平总书记关于教育的重要论述研究</w:t>
      </w:r>
    </w:p>
    <w:p>
      <w:pPr>
        <w:numPr>
          <w:ilvl w:val="0"/>
          <w:numId w:val="0"/>
        </w:numPr>
        <w:spacing w:line="600" w:lineRule="exact"/>
        <w:jc w:val="left"/>
        <w:rPr>
          <w:rFonts w:hint="default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 xml:space="preserve">    2.习近平法治思想研究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kern w:val="0"/>
          <w:szCs w:val="32"/>
        </w:rPr>
        <w:t>“长江经济带”教育发展改革研究</w:t>
      </w:r>
    </w:p>
    <w:p>
      <w:pPr>
        <w:spacing w:line="64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4.</w:t>
      </w:r>
      <w:r>
        <w:rPr>
          <w:rFonts w:hint="eastAsia" w:ascii="仿宋_GB2312" w:hAnsi="仿宋_GB2312" w:cs="仿宋_GB2312"/>
          <w:kern w:val="0"/>
          <w:szCs w:val="32"/>
        </w:rPr>
        <w:t>建设高质量教育体系研究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5.</w:t>
      </w:r>
      <w:r>
        <w:rPr>
          <w:rFonts w:hint="eastAsia" w:ascii="仿宋_GB2312" w:hAnsi="仿宋_GB2312" w:cs="仿宋_GB2312"/>
          <w:kern w:val="0"/>
          <w:szCs w:val="32"/>
        </w:rPr>
        <w:t>湖北教育现代化2035研究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6.</w:t>
      </w:r>
      <w:r>
        <w:rPr>
          <w:rFonts w:hint="eastAsia" w:ascii="仿宋_GB2312" w:hAnsi="仿宋_GB2312" w:cs="仿宋_GB2312"/>
          <w:kern w:val="0"/>
          <w:szCs w:val="32"/>
        </w:rPr>
        <w:t>建设现代化教育强省研究</w:t>
      </w:r>
    </w:p>
    <w:p>
      <w:pPr>
        <w:spacing w:line="64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7.</w:t>
      </w:r>
      <w:r>
        <w:rPr>
          <w:rFonts w:hint="eastAsia" w:ascii="仿宋_GB2312"/>
          <w:szCs w:val="32"/>
        </w:rPr>
        <w:t>新</w:t>
      </w:r>
      <w:r>
        <w:rPr>
          <w:rFonts w:hint="eastAsia" w:ascii="仿宋_GB2312"/>
          <w:szCs w:val="32"/>
          <w:lang w:eastAsia="zh-CN"/>
        </w:rPr>
        <w:t>时代</w:t>
      </w:r>
      <w:r>
        <w:rPr>
          <w:rFonts w:hint="eastAsia" w:ascii="仿宋_GB2312"/>
          <w:szCs w:val="32"/>
        </w:rPr>
        <w:t>湖北教育改革发展</w:t>
      </w:r>
      <w:r>
        <w:rPr>
          <w:rFonts w:hint="eastAsia" w:ascii="仿宋_GB2312"/>
          <w:szCs w:val="32"/>
          <w:lang w:eastAsia="zh-CN"/>
        </w:rPr>
        <w:t>成效</w:t>
      </w:r>
      <w:r>
        <w:rPr>
          <w:rFonts w:hint="eastAsia" w:ascii="仿宋_GB2312"/>
          <w:szCs w:val="32"/>
        </w:rPr>
        <w:t>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8.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湖北高校涵养“大先生”的路径与机制研究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9.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“双减”政策法律风险研究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10.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中小学法治副校长聘任管理研究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11.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高校培育时代新人创新机制和路径方法研究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12.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高校辅导员提升政治引领力路径研究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13.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大数据背景下高校网络思想政治教育提升路径研究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14.大学生社会实践中思政元素整合与融入研究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15.新时代推进工科院校“课程思政”建设研究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16.湖北省高等学校分类体系构建和分类发展路径研究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17.湖北民办学校分类管理制度设计和推进路径研究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18.独立学院高质量转设的困境与实践路径研究</w:t>
      </w:r>
    </w:p>
    <w:p>
      <w:pPr>
        <w:spacing w:line="640" w:lineRule="exact"/>
        <w:ind w:firstLine="640" w:firstLineChars="200"/>
        <w:jc w:val="left"/>
        <w:rPr>
          <w:rFonts w:hint="default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19.</w:t>
      </w:r>
      <w:r>
        <w:rPr>
          <w:rFonts w:hint="default" w:ascii="仿宋_GB2312" w:hAnsi="仿宋_GB2312" w:cs="仿宋_GB2312"/>
          <w:kern w:val="0"/>
          <w:szCs w:val="32"/>
          <w:lang w:val="en-US" w:eastAsia="zh-CN"/>
        </w:rPr>
        <w:t>推动湖北省县域普通高中发展提升难点和路径研究</w:t>
      </w:r>
    </w:p>
    <w:p>
      <w:pPr>
        <w:spacing w:line="640" w:lineRule="exact"/>
        <w:ind w:firstLine="640" w:firstLineChars="200"/>
        <w:jc w:val="left"/>
        <w:rPr>
          <w:rFonts w:hint="default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20.</w:t>
      </w:r>
      <w:r>
        <w:rPr>
          <w:rFonts w:hint="default" w:ascii="仿宋_GB2312" w:hAnsi="仿宋_GB2312" w:cs="仿宋_GB2312"/>
          <w:kern w:val="0"/>
          <w:szCs w:val="32"/>
          <w:lang w:val="en-US" w:eastAsia="zh-CN"/>
        </w:rPr>
        <w:t>湖北省中小学地方课程、校本课程开发与管理研究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21.</w:t>
      </w:r>
      <w:r>
        <w:rPr>
          <w:rFonts w:hint="default" w:ascii="仿宋_GB2312" w:hAnsi="仿宋_GB2312" w:cs="仿宋_GB2312"/>
          <w:kern w:val="0"/>
          <w:szCs w:val="32"/>
          <w:lang w:val="en-US" w:eastAsia="zh-CN"/>
        </w:rPr>
        <w:t>推动中小学党组织领导下的校长负责制难点和路径研究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22.双减政策减轻家庭教育支出的效果研究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val="en-US" w:eastAsia="zh-CN"/>
        </w:rPr>
        <w:t>23.</w:t>
      </w:r>
      <w:r>
        <w:rPr>
          <w:rFonts w:hint="eastAsia" w:ascii="仿宋_GB2312"/>
          <w:szCs w:val="32"/>
          <w:lang w:eastAsia="zh-CN"/>
        </w:rPr>
        <w:t>湖北省产教融合企业育人绩效评价研究</w:t>
      </w:r>
    </w:p>
    <w:p>
      <w:pPr>
        <w:spacing w:line="640" w:lineRule="exact"/>
        <w:ind w:firstLine="589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24.失业保险基金支持职业教育培训研究</w:t>
      </w:r>
    </w:p>
    <w:p>
      <w:pPr>
        <w:numPr>
          <w:ilvl w:val="0"/>
          <w:numId w:val="0"/>
        </w:numPr>
        <w:spacing w:line="640" w:lineRule="exact"/>
        <w:ind w:firstLine="589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25.</w:t>
      </w:r>
      <w:r>
        <w:rPr>
          <w:rFonts w:hint="eastAsia" w:ascii="仿宋_GB2312" w:hAnsi="仿宋_GB2312" w:cs="仿宋_GB2312"/>
          <w:kern w:val="0"/>
          <w:szCs w:val="32"/>
        </w:rPr>
        <w:t>“双一流”建设绩效评价研究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26.“健康中国”战略下中医数字化传播路径研究</w:t>
      </w:r>
    </w:p>
    <w:p>
      <w:pPr>
        <w:spacing w:line="640" w:lineRule="exact"/>
        <w:ind w:firstLine="640" w:firstLineChars="200"/>
        <w:jc w:val="left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27.</w:t>
      </w:r>
      <w:r>
        <w:rPr>
          <w:rFonts w:hint="eastAsia" w:ascii="仿宋_GB2312" w:hAnsi="仿宋_GB2312" w:cs="仿宋_GB2312"/>
          <w:kern w:val="0"/>
          <w:szCs w:val="32"/>
        </w:rPr>
        <w:t>推进“一流本科专业”建设研究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28.高等学校创新创业教育模式优化研究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29.主动实践引领地方本科高校人才培养质量提升的理念、模式和路径研究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30.地方本科高校特色课程数字化研究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31.</w:t>
      </w:r>
      <w:r>
        <w:rPr>
          <w:rFonts w:hint="eastAsia" w:ascii="仿宋_GB2312" w:hAnsi="仿宋_GB2312" w:cs="仿宋_GB2312"/>
          <w:kern w:val="0"/>
          <w:szCs w:val="32"/>
        </w:rPr>
        <w:t>深化研究生教育改革提升支撑经济社会发展能力研究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32.人工智能助推中小学教师队伍建设研究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val="en-US" w:eastAsia="zh-CN"/>
        </w:rPr>
        <w:t>33.</w:t>
      </w:r>
      <w:r>
        <w:rPr>
          <w:rFonts w:hint="eastAsia" w:ascii="仿宋_GB2312"/>
          <w:szCs w:val="32"/>
          <w:lang w:eastAsia="zh-CN"/>
        </w:rPr>
        <w:t>高校大学生常见突发事件规范化应急处置研究</w:t>
      </w:r>
    </w:p>
    <w:p>
      <w:pPr>
        <w:numPr>
          <w:ilvl w:val="0"/>
          <w:numId w:val="0"/>
        </w:numPr>
        <w:spacing w:line="640" w:lineRule="exact"/>
        <w:ind w:firstLine="589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34.常态化疫情下推进高校学生创新创业就业工作研究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val="en-US" w:eastAsia="zh-CN"/>
        </w:rPr>
        <w:t>35.</w:t>
      </w:r>
      <w:r>
        <w:rPr>
          <w:rFonts w:hint="eastAsia" w:ascii="仿宋_GB2312"/>
          <w:szCs w:val="32"/>
          <w:lang w:eastAsia="zh-CN"/>
        </w:rPr>
        <w:t>提升教育数字化能力工作研究</w:t>
      </w:r>
    </w:p>
    <w:p>
      <w:p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36.“戏曲进校园”工作机制研究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37.体教融合背景下湖北省学校竞技体育培养的体系、生态及学训问题研究</w:t>
      </w:r>
    </w:p>
    <w:p>
      <w:pPr>
        <w:spacing w:line="640" w:lineRule="exact"/>
        <w:ind w:firstLine="640" w:firstLineChars="200"/>
        <w:jc w:val="left"/>
        <w:rPr>
          <w:rFonts w:hint="default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38.</w:t>
      </w:r>
      <w:r>
        <w:rPr>
          <w:rFonts w:hint="default" w:ascii="仿宋_GB2312" w:hAnsi="仿宋_GB2312" w:cs="仿宋_GB2312"/>
          <w:kern w:val="0"/>
          <w:szCs w:val="32"/>
          <w:lang w:val="en-US" w:eastAsia="zh-CN"/>
        </w:rPr>
        <w:t>做实做强后疫情时代中外合作办学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39.</w:t>
      </w:r>
      <w:r>
        <w:rPr>
          <w:rFonts w:hint="default" w:ascii="仿宋_GB2312" w:hAnsi="仿宋_GB2312" w:cs="仿宋_GB2312"/>
          <w:kern w:val="0"/>
          <w:szCs w:val="32"/>
          <w:lang w:val="en-US" w:eastAsia="zh-CN"/>
        </w:rPr>
        <w:t>地方高校国际化人才培养如何服务“一带一路”建设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40.湖北省高校人才评价“破四唯”和立新标研究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41.教育督导问责实施细则研究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42.清廉学校建设的路径研究</w:t>
      </w:r>
    </w:p>
    <w:p>
      <w:pPr>
        <w:numPr>
          <w:ilvl w:val="0"/>
          <w:numId w:val="0"/>
        </w:numPr>
        <w:spacing w:line="640" w:lineRule="exact"/>
        <w:ind w:firstLine="589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43.全面加强校外培训机构行政执法工作研究</w:t>
      </w:r>
    </w:p>
    <w:p>
      <w:pPr>
        <w:numPr>
          <w:ilvl w:val="0"/>
          <w:numId w:val="0"/>
        </w:numPr>
        <w:spacing w:line="640" w:lineRule="exact"/>
        <w:ind w:firstLine="589"/>
        <w:rPr>
          <w:rFonts w:hint="eastAsia" w:ascii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40" w:lineRule="exact"/>
        <w:ind w:firstLine="589"/>
        <w:rPr>
          <w:rFonts w:hint="eastAsia" w:ascii="仿宋_GB2312" w:hAnsi="仿宋_GB2312" w:cs="仿宋_GB2312"/>
          <w:kern w:val="0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40" w:lineRule="exact"/>
        <w:ind w:firstLine="589"/>
        <w:rPr>
          <w:rFonts w:hint="default" w:ascii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40" w:lineRule="exact"/>
        <w:ind w:firstLine="589"/>
        <w:rPr>
          <w:rFonts w:hint="default" w:ascii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40" w:lineRule="exact"/>
        <w:ind w:firstLine="589"/>
        <w:rPr>
          <w:rFonts w:hint="default" w:ascii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40" w:lineRule="exact"/>
        <w:ind w:firstLine="589"/>
        <w:rPr>
          <w:rFonts w:hint="default" w:ascii="仿宋_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40" w:lineRule="exact"/>
        <w:ind w:firstLine="589"/>
        <w:rPr>
          <w:rFonts w:hint="default" w:ascii="仿宋_GB2312"/>
          <w:szCs w:val="32"/>
          <w:lang w:val="en-US" w:eastAsia="zh-CN"/>
        </w:rPr>
      </w:pPr>
    </w:p>
    <w:p>
      <w:pPr>
        <w:spacing w:line="640" w:lineRule="exact"/>
        <w:jc w:val="left"/>
        <w:rPr>
          <w:rFonts w:hint="eastAsia" w:ascii="黑体" w:hAnsi="黑体" w:eastAsia="黑体" w:cs="仿宋_GB2312"/>
          <w:kern w:val="0"/>
          <w:szCs w:val="32"/>
        </w:rPr>
      </w:pPr>
    </w:p>
    <w:p>
      <w:pPr>
        <w:spacing w:line="640" w:lineRule="exact"/>
        <w:jc w:val="left"/>
        <w:rPr>
          <w:rFonts w:hint="eastAsia" w:ascii="黑体" w:hAnsi="黑体" w:eastAsia="黑体" w:cs="仿宋_GB2312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DC01"/>
    <w:multiLevelType w:val="singleLevel"/>
    <w:tmpl w:val="5DDFDC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85CAF"/>
    <w:rsid w:val="607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2022-04-22T06:14:00Z</dcterms:created>
  <dc:creator>侯</dc:creator>
  <cp:lastModifiedBy>侯</cp:lastModifiedBy>
  <dcterms:modified xsi:type="dcterms:W3CDTF">2022-04-22T06:14:26Z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F028DA95841248F3B20CBF01465065D6</vt:lpwstr>
  </property>
  <property fmtid="{D5CDD505-2E9C-101B-9397-08002B2CF9AE}" pid="4" name="commondata">
    <vt:lpwstr>eyJoZGlkIjoiZTA3MjFjZTkyYTliOWJkNzM4MWYzYWI3MDFjN2IzMjEifQ==</vt:lpwstr>
  </property>
</Properties>
</file>