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ind w:firstLine="880"/>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省教育厅关于</w:t>
      </w:r>
      <w:r>
        <w:rPr>
          <w:rFonts w:hint="eastAsia" w:ascii="方正小标宋简体" w:hAnsi="方正小标宋简体" w:eastAsia="方正小标宋简体" w:cs="方正小标宋简体"/>
          <w:sz w:val="44"/>
        </w:rPr>
        <w:t>开展</w:t>
      </w:r>
      <w:r>
        <w:rPr>
          <w:rFonts w:ascii="方正小标宋简体" w:hAnsi="方正小标宋简体" w:eastAsia="方正小标宋简体" w:cs="方正小标宋简体"/>
          <w:sz w:val="44"/>
        </w:rPr>
        <w:t>“百校</w:t>
      </w:r>
      <w:r>
        <w:rPr>
          <w:rFonts w:hint="eastAsia" w:ascii="方正小标宋简体" w:hAnsi="方正小标宋简体" w:eastAsia="方正小标宋简体" w:cs="方正小标宋简体"/>
          <w:sz w:val="44"/>
        </w:rPr>
        <w:t>联</w:t>
      </w:r>
      <w:r>
        <w:rPr>
          <w:rFonts w:ascii="方正小标宋简体" w:hAnsi="方正小标宋简体" w:eastAsia="方正小标宋简体" w:cs="方正小标宋简体"/>
          <w:sz w:val="44"/>
        </w:rPr>
        <w:t>百县——高校服务乡村振兴科技支撑行动计划”</w:t>
      </w:r>
      <w:r>
        <w:rPr>
          <w:rFonts w:hint="eastAsia" w:ascii="方正小标宋简体" w:hAnsi="方正小标宋简体" w:eastAsia="方正小标宋简体" w:cs="方正小标宋简体"/>
          <w:sz w:val="44"/>
        </w:rPr>
        <w:t>项目申报工作</w:t>
      </w:r>
      <w:r>
        <w:rPr>
          <w:rFonts w:ascii="方正小标宋简体" w:hAnsi="方正小标宋简体" w:eastAsia="方正小标宋简体" w:cs="方正小标宋简体"/>
          <w:sz w:val="44"/>
        </w:rPr>
        <w:t xml:space="preserve">的通知 </w:t>
      </w:r>
    </w:p>
    <w:p>
      <w:pPr>
        <w:spacing w:line="600" w:lineRule="exact"/>
        <w:ind w:firstLine="560"/>
        <w:rPr>
          <w:rFonts w:ascii="仿宋" w:hAnsi="仿宋" w:eastAsia="仿宋" w:cs="仿宋"/>
          <w:sz w:val="28"/>
        </w:rPr>
      </w:pPr>
    </w:p>
    <w:p>
      <w:pPr>
        <w:spacing w:line="600" w:lineRule="exact"/>
        <w:rPr>
          <w:rFonts w:ascii="仿宋_GB2312" w:hAnsi="仿宋_GB2312" w:eastAsia="仿宋_GB2312" w:cs="仿宋_GB2312"/>
          <w:sz w:val="32"/>
        </w:rPr>
      </w:pPr>
      <w:r>
        <w:rPr>
          <w:rFonts w:ascii="仿宋_GB2312" w:hAnsi="仿宋_GB2312" w:eastAsia="仿宋_GB2312" w:cs="仿宋_GB2312"/>
          <w:sz w:val="32"/>
        </w:rPr>
        <w:t>各高等学校：</w:t>
      </w:r>
    </w:p>
    <w:p>
      <w:pPr>
        <w:spacing w:line="600" w:lineRule="exact"/>
        <w:ind w:firstLine="660"/>
        <w:rPr>
          <w:rFonts w:ascii="仿宋_GB2312" w:hAnsi="仿宋_GB2312" w:eastAsia="仿宋_GB2312" w:cs="仿宋_GB2312"/>
          <w:sz w:val="32"/>
        </w:rPr>
      </w:pPr>
      <w:r>
        <w:rPr>
          <w:rFonts w:hint="eastAsia" w:ascii="仿宋_GB2312" w:hAnsi="仿宋_GB2312" w:eastAsia="仿宋_GB2312" w:cs="仿宋_GB2312"/>
          <w:sz w:val="32"/>
        </w:rPr>
        <w:t>为贯彻落实中共中央、国务院《关于实施乡村振兴战略的意见》，根据省委、省政府《关于全面推进乡村振兴和农业产业强省建设加快农业农村现代化的实施意见》要求，我厅拟启动“百校联百县——高校服务乡村振兴科技支撑行动计划”（简称“百校联百县”），现就项目申报工作通知如下：</w:t>
      </w:r>
    </w:p>
    <w:p>
      <w:pPr>
        <w:spacing w:line="600" w:lineRule="exact"/>
        <w:ind w:firstLine="640"/>
        <w:rPr>
          <w:rFonts w:ascii="黑体" w:hAnsi="黑体" w:eastAsia="黑体" w:cs="黑体"/>
          <w:bCs/>
          <w:i/>
          <w:iCs/>
          <w:sz w:val="32"/>
        </w:rPr>
      </w:pPr>
      <w:r>
        <w:rPr>
          <w:rFonts w:hint="eastAsia" w:ascii="黑体" w:hAnsi="黑体" w:eastAsia="黑体" w:cs="黑体"/>
          <w:bCs/>
          <w:sz w:val="32"/>
        </w:rPr>
        <w:t>一、百校联百县的主要任务</w:t>
      </w:r>
    </w:p>
    <w:p>
      <w:pPr>
        <w:spacing w:line="600" w:lineRule="exact"/>
        <w:ind w:firstLine="660"/>
        <w:rPr>
          <w:rFonts w:ascii="仿宋_GB2312" w:hAnsi="仿宋_GB2312" w:eastAsia="仿宋_GB2312" w:cs="仿宋_GB2312"/>
          <w:sz w:val="32"/>
        </w:rPr>
      </w:pPr>
      <w:r>
        <w:rPr>
          <w:rFonts w:hint="eastAsia" w:ascii="仿宋_GB2312" w:hAnsi="仿宋_GB2312" w:eastAsia="仿宋_GB2312" w:cs="仿宋_GB2312"/>
          <w:sz w:val="32"/>
        </w:rPr>
        <w:t>百校联百县是为了贯彻落实省委、省政府《关于全面推进乡村振兴和农业产业强省建设加快农业农村现代化的实施意见》，聚焦基础设施、农业产业、农村市场、种业资源、乡旅游、乡村教育、乡村医疗、乡村文化、乡村养老和社区服务、乡村环境等10个领域（具体内容见附件１），组织全省百所高校，对接全省百个县市，采取项目制的方式，组织全省高校科技人员和学生，深入乡村一线，着力解决乡村振兴中的技术、规划、策略、人才等方面的问题，为乡村产业、人才、文化、生态、组织振兴提供科技支撑，做出教育贡献。</w:t>
      </w:r>
    </w:p>
    <w:p>
      <w:pPr>
        <w:numPr>
          <w:ilvl w:val="0"/>
          <w:numId w:val="1"/>
        </w:numPr>
        <w:spacing w:line="600" w:lineRule="exact"/>
        <w:ind w:left="627"/>
        <w:rPr>
          <w:rFonts w:ascii="黑体" w:hAnsi="黑体" w:eastAsia="黑体" w:cs="黑体"/>
          <w:sz w:val="32"/>
        </w:rPr>
      </w:pPr>
      <w:r>
        <w:rPr>
          <w:rFonts w:hint="eastAsia" w:ascii="黑体" w:hAnsi="黑体" w:eastAsia="黑体" w:cs="黑体"/>
          <w:sz w:val="32"/>
        </w:rPr>
        <w:t>申报条件</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百校联百县以项目为实施载体，申报项目需符合以下条件：</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（一）项目以服务乡村振兴为目标，服务对象为省内县（市、区）及以下政府、企事业单位、村（组）或个人。</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（二）项目包括正在实施中或拟计划开展的，并具有必要的条件保障。</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（三）项目内容参照附件二，项目类型包括成果转化、技术开发、技术转让、技术咨询、技术服务、社会咨询等。</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（四）项目负责人为学校教学、科研、管理人员。</w:t>
      </w:r>
    </w:p>
    <w:p>
      <w:pPr>
        <w:pStyle w:val="6"/>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（五）高校有较完善的科技服务政策制度，能够为项目实施提供保障。</w:t>
      </w:r>
    </w:p>
    <w:p>
      <w:pPr>
        <w:spacing w:line="600" w:lineRule="exact"/>
        <w:ind w:firstLine="627"/>
        <w:rPr>
          <w:rFonts w:ascii="黑体" w:hAnsi="黑体" w:eastAsia="黑体" w:cs="黑体"/>
          <w:sz w:val="32"/>
        </w:rPr>
      </w:pPr>
      <w:r>
        <w:rPr>
          <w:rFonts w:hint="eastAsia" w:ascii="黑体" w:hAnsi="黑体" w:eastAsia="黑体" w:cs="黑体"/>
          <w:sz w:val="32"/>
        </w:rPr>
        <w:t>三、申报要求</w:t>
      </w:r>
    </w:p>
    <w:p>
      <w:pPr>
        <w:spacing w:line="600" w:lineRule="exact"/>
        <w:ind w:firstLine="643" w:firstLineChars="200"/>
        <w:rPr>
          <w:rFonts w:ascii="仿宋_GB2312" w:hAnsi="仿宋_GB2312" w:eastAsia="仿宋_GB2312" w:cs="仿宋_GB2312"/>
          <w:b/>
          <w:bCs/>
          <w:sz w:val="32"/>
        </w:rPr>
      </w:pPr>
      <w:r>
        <w:rPr>
          <w:rFonts w:hint="eastAsia" w:ascii="仿宋_GB2312" w:hAnsi="仿宋_GB2312" w:eastAsia="仿宋_GB2312" w:cs="仿宋_GB2312"/>
          <w:b/>
          <w:bCs/>
          <w:sz w:val="32"/>
        </w:rPr>
        <w:t>（一）提高政治站位</w:t>
      </w:r>
    </w:p>
    <w:p>
      <w:pPr>
        <w:spacing w:line="600" w:lineRule="exact"/>
        <w:ind w:firstLine="627"/>
        <w:rPr>
          <w:rFonts w:ascii="仿宋_GB2312" w:hAnsi="仿宋_GB2312" w:eastAsia="仿宋_GB2312" w:cs="仿宋_GB2312"/>
          <w:sz w:val="32"/>
        </w:rPr>
      </w:pPr>
      <w:r>
        <w:rPr>
          <w:rFonts w:hint="eastAsia" w:ascii="仿宋_GB2312" w:hAnsi="仿宋_GB2312" w:eastAsia="仿宋_GB2312" w:cs="仿宋_GB2312"/>
          <w:sz w:val="32"/>
        </w:rPr>
        <w:t>各高校要认真学习贯彻习近平总书记关于乡村振兴的重要论述，认真学习领会中共中央、国务院《关于实施乡村振兴战略的意见》、省委、省政府《关于全面推进乡村振兴和农业产业强省建设加快农业农村现代化的实施意见》等文件精神，把乡村振兴作为高校服务湖北高质量发展的重要内容，把百校联百县作为高校服务乡村振兴战略的重要举措，认真组织实施。</w:t>
      </w:r>
    </w:p>
    <w:p>
      <w:pPr>
        <w:spacing w:line="600" w:lineRule="exact"/>
        <w:ind w:firstLine="643" w:firstLineChars="200"/>
        <w:rPr>
          <w:rFonts w:ascii="仿宋_GB2312" w:hAnsi="仿宋_GB2312" w:eastAsia="仿宋_GB2312" w:cs="仿宋_GB2312"/>
          <w:b/>
          <w:bCs/>
          <w:sz w:val="32"/>
        </w:rPr>
      </w:pPr>
      <w:r>
        <w:rPr>
          <w:rFonts w:hint="eastAsia" w:ascii="仿宋_GB2312" w:hAnsi="仿宋_GB2312" w:eastAsia="仿宋_GB2312" w:cs="仿宋_GB2312"/>
          <w:b/>
          <w:bCs/>
          <w:sz w:val="32"/>
        </w:rPr>
        <w:t>（二）认真组织申报</w:t>
      </w:r>
    </w:p>
    <w:p>
      <w:pPr>
        <w:spacing w:line="600" w:lineRule="exact"/>
        <w:ind w:firstLine="643" w:firstLineChars="200"/>
        <w:rPr>
          <w:rFonts w:ascii="仿宋_GB2312" w:hAnsi="仿宋_GB2312" w:eastAsia="仿宋_GB2312" w:cs="仿宋_GB2312"/>
          <w:sz w:val="32"/>
        </w:rPr>
      </w:pPr>
      <w:r>
        <w:rPr>
          <w:rFonts w:ascii="仿宋_GB2312" w:hAnsi="仿宋_GB2312" w:eastAsia="仿宋_GB2312" w:cs="仿宋_GB2312"/>
          <w:b/>
          <w:sz w:val="32"/>
        </w:rPr>
        <w:t>1.</w:t>
      </w:r>
      <w:r>
        <w:rPr>
          <w:rFonts w:hint="eastAsia" w:ascii="仿宋_GB2312" w:hAnsi="仿宋_GB2312" w:eastAsia="仿宋_GB2312" w:cs="仿宋_GB2312"/>
          <w:sz w:val="32"/>
        </w:rPr>
        <w:t>各高校要</w:t>
      </w:r>
      <w:r>
        <w:rPr>
          <w:rFonts w:ascii="仿宋_GB2312" w:hAnsi="仿宋_GB2312" w:eastAsia="仿宋_GB2312" w:cs="仿宋_GB2312"/>
          <w:sz w:val="32"/>
        </w:rPr>
        <w:t>全面梳理脱贫攻坚、对口帮扶、三农服务等工作情况，</w:t>
      </w:r>
      <w:r>
        <w:rPr>
          <w:rFonts w:hint="eastAsia" w:ascii="仿宋_GB2312" w:hAnsi="仿宋_GB2312" w:eastAsia="仿宋_GB2312" w:cs="仿宋_GB2312"/>
          <w:sz w:val="32"/>
        </w:rPr>
        <w:t>积极组织动员广大教职员工申报项目</w:t>
      </w:r>
      <w:r>
        <w:rPr>
          <w:rFonts w:ascii="仿宋_GB2312" w:hAnsi="仿宋_GB2312" w:eastAsia="仿宋_GB2312" w:cs="仿宋_GB2312"/>
          <w:sz w:val="32"/>
        </w:rPr>
        <w:t>。</w:t>
      </w:r>
    </w:p>
    <w:p>
      <w:pPr>
        <w:spacing w:line="60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sz w:val="32"/>
        </w:rPr>
        <w:t>2</w:t>
      </w:r>
      <w:r>
        <w:rPr>
          <w:rFonts w:hint="eastAsia" w:ascii="仿宋_GB2312" w:hAnsi="仿宋_GB2312" w:eastAsia="仿宋_GB2312" w:cs="仿宋_GB2312"/>
          <w:sz w:val="32"/>
        </w:rPr>
        <w:t>.项目申报数量不做限额要求，做到应报尽报。</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b/>
          <w:sz w:val="32"/>
        </w:rPr>
        <w:t>3.</w:t>
      </w:r>
      <w:r>
        <w:rPr>
          <w:rFonts w:hint="eastAsia" w:ascii="仿宋_GB2312" w:hAnsi="仿宋_GB2312" w:eastAsia="仿宋_GB2312" w:cs="仿宋_GB2312"/>
          <w:sz w:val="32"/>
        </w:rPr>
        <w:t>请各高校填写《百校联百县——高校服务乡村振兴科技支撑行动计划项目汇总表》（附件２），3月底前连同百校联百县</w:t>
      </w:r>
      <w:r>
        <w:rPr>
          <w:rFonts w:ascii="仿宋_GB2312" w:hAnsi="仿宋_GB2312" w:eastAsia="仿宋_GB2312" w:cs="仿宋_GB2312"/>
          <w:sz w:val="32"/>
        </w:rPr>
        <w:t>工作建议</w:t>
      </w:r>
      <w:r>
        <w:rPr>
          <w:rFonts w:hint="eastAsia" w:ascii="仿宋_GB2312" w:hAnsi="仿宋_GB2312" w:eastAsia="仿宋_GB2312" w:cs="仿宋_GB2312"/>
          <w:sz w:val="32"/>
        </w:rPr>
        <w:t>（纸质扫描版、电子版），一并报教育厅科技处（电子版内容可适当扩展）。</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联系人：焦阳，联系电话：027-87328022。</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邮</w:t>
      </w:r>
      <w:r>
        <w:rPr>
          <w:rFonts w:hint="eastAsia" w:ascii="仿宋_GB2312" w:hAnsi="仿宋_GB2312" w:eastAsia="仿宋_GB2312" w:cs="仿宋_GB2312"/>
          <w:sz w:val="32"/>
        </w:rPr>
        <w:t xml:space="preserve">  </w:t>
      </w:r>
      <w:r>
        <w:rPr>
          <w:rFonts w:ascii="仿宋_GB2312" w:hAnsi="仿宋_GB2312" w:eastAsia="仿宋_GB2312" w:cs="仿宋_GB2312"/>
          <w:sz w:val="32"/>
        </w:rPr>
        <w:t>箱：kjc1215＠126.com</w:t>
      </w:r>
      <w:r>
        <w:rPr>
          <w:rFonts w:hint="eastAsia" w:ascii="仿宋_GB2312" w:hAnsi="仿宋_GB2312" w:eastAsia="仿宋_GB2312" w:cs="仿宋_GB2312"/>
          <w:sz w:val="32"/>
        </w:rPr>
        <w:t>。</w:t>
      </w:r>
    </w:p>
    <w:p>
      <w:pPr>
        <w:spacing w:line="600" w:lineRule="exact"/>
        <w:ind w:firstLine="660"/>
        <w:rPr>
          <w:rFonts w:ascii="仿宋_GB2312" w:hAnsi="仿宋_GB2312" w:eastAsia="仿宋_GB2312" w:cs="仿宋_GB2312"/>
          <w:sz w:val="32"/>
        </w:rPr>
      </w:pPr>
      <w:r>
        <w:rPr>
          <w:rFonts w:hint="eastAsia" w:ascii="仿宋_GB2312" w:hAnsi="仿宋_GB2312" w:eastAsia="仿宋_GB2312" w:cs="仿宋_GB2312"/>
          <w:sz w:val="32"/>
        </w:rPr>
        <w:t>我厅将对申报项目遴选后予以认定，并正式公布实施。项目实施情况将作为评估高校科学研究和社会服务水平的重要依据，并对成效突出的单位予以支持。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附件</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１</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百校联百县——高校服务乡村振兴科技支撑行动计划重点领域</w:t>
      </w:r>
    </w:p>
    <w:p>
      <w:pPr>
        <w:spacing w:line="600" w:lineRule="exact"/>
        <w:ind w:firstLine="1600" w:firstLineChars="500"/>
        <w:rPr>
          <w:rFonts w:ascii="仿宋_GB2312" w:hAnsi="仿宋_GB2312" w:eastAsia="仿宋_GB2312" w:cs="仿宋_GB2312"/>
          <w:sz w:val="32"/>
        </w:rPr>
      </w:pPr>
      <w:r>
        <w:rPr>
          <w:rFonts w:hint="eastAsia" w:ascii="仿宋_GB2312" w:hAnsi="仿宋_GB2312" w:eastAsia="仿宋_GB2312" w:cs="仿宋_GB2312"/>
          <w:sz w:val="32"/>
        </w:rPr>
        <w:t>２.百校联百县——高校服务乡村振兴科技支撑行动计划项目汇总表</w:t>
      </w:r>
    </w:p>
    <w:p>
      <w:pPr>
        <w:ind w:firstLine="480"/>
        <w:rPr>
          <w:rFonts w:ascii="仿宋_GB2312" w:hAnsi="仿宋_GB2312" w:eastAsia="仿宋_GB2312" w:cs="仿宋_GB2312"/>
          <w:sz w:val="32"/>
        </w:rPr>
      </w:pPr>
    </w:p>
    <w:p>
      <w:pPr>
        <w:ind w:firstLine="480"/>
        <w:rPr>
          <w:rFonts w:ascii="仿宋_GB2312" w:hAnsi="仿宋_GB2312" w:eastAsia="仿宋_GB2312" w:cs="仿宋_GB2312"/>
          <w:sz w:val="32"/>
        </w:rPr>
      </w:pPr>
      <w:r>
        <w:rPr>
          <w:rFonts w:ascii="仿宋_GB2312" w:hAnsi="仿宋_GB2312" w:eastAsia="仿宋_GB2312" w:cs="仿宋_GB2312"/>
          <w:sz w:val="32"/>
        </w:rPr>
        <w:t xml:space="preserve">                               </w:t>
      </w:r>
      <w:r>
        <w:rPr>
          <w:rFonts w:hint="eastAsia" w:ascii="仿宋_GB2312" w:hAnsi="仿宋_GB2312" w:eastAsia="仿宋_GB2312" w:cs="仿宋_GB2312"/>
          <w:sz w:val="32"/>
        </w:rPr>
        <w:t xml:space="preserve"> </w:t>
      </w:r>
      <w:r>
        <w:rPr>
          <w:rFonts w:ascii="仿宋_GB2312" w:hAnsi="仿宋_GB2312" w:eastAsia="仿宋_GB2312" w:cs="仿宋_GB2312"/>
          <w:sz w:val="32"/>
        </w:rPr>
        <w:t xml:space="preserve">  省教育厅</w:t>
      </w:r>
    </w:p>
    <w:p>
      <w:pPr>
        <w:ind w:firstLine="640"/>
        <w:rPr>
          <w:rFonts w:ascii="仿宋_GB2312" w:hAnsi="仿宋_GB2312" w:eastAsia="仿宋_GB2312" w:cs="仿宋_GB2312"/>
          <w:sz w:val="32"/>
        </w:rPr>
      </w:pPr>
      <w:r>
        <w:rPr>
          <w:rFonts w:ascii="仿宋_GB2312" w:hAnsi="仿宋_GB2312" w:eastAsia="仿宋_GB2312" w:cs="仿宋_GB2312"/>
          <w:sz w:val="32"/>
        </w:rPr>
        <w:t xml:space="preserve">                               2021年</w:t>
      </w:r>
      <w:r>
        <w:rPr>
          <w:rFonts w:hint="eastAsia" w:ascii="仿宋_GB2312" w:hAnsi="仿宋_GB2312" w:eastAsia="仿宋_GB2312" w:cs="仿宋_GB2312"/>
          <w:sz w:val="32"/>
        </w:rPr>
        <w:t>3</w:t>
      </w:r>
      <w:r>
        <w:rPr>
          <w:rFonts w:ascii="仿宋_GB2312" w:hAnsi="仿宋_GB2312" w:eastAsia="仿宋_GB2312" w:cs="仿宋_GB2312"/>
          <w:sz w:val="32"/>
        </w:rPr>
        <w:t>月</w:t>
      </w:r>
      <w:r>
        <w:rPr>
          <w:rFonts w:hint="eastAsia" w:ascii="仿宋_GB2312" w:hAnsi="仿宋_GB2312" w:eastAsia="仿宋_GB2312" w:cs="仿宋_GB2312"/>
          <w:sz w:val="32"/>
          <w:lang w:val="en-US" w:eastAsia="zh-CN"/>
        </w:rPr>
        <w:t>10</w:t>
      </w:r>
      <w:bookmarkStart w:id="0" w:name="_GoBack"/>
      <w:bookmarkEnd w:id="0"/>
      <w:r>
        <w:rPr>
          <w:rFonts w:ascii="仿宋_GB2312" w:hAnsi="仿宋_GB2312" w:eastAsia="仿宋_GB2312" w:cs="仿宋_GB2312"/>
          <w:sz w:val="32"/>
        </w:rPr>
        <w:t>日</w:t>
      </w:r>
    </w:p>
    <w:p>
      <w:pPr>
        <w:widowControl/>
        <w:jc w:val="left"/>
      </w:pPr>
      <w:r>
        <w:br w:type="page"/>
      </w:r>
    </w:p>
    <w:p>
      <w:pPr>
        <w:spacing w:line="600" w:lineRule="exact"/>
        <w:jc w:val="left"/>
        <w:rPr>
          <w:rFonts w:ascii="仿宋_GB2312" w:hAnsi="仿宋_GB2312" w:eastAsia="仿宋_GB2312" w:cs="仿宋_GB2312"/>
          <w:sz w:val="32"/>
        </w:rPr>
      </w:pPr>
      <w:r>
        <w:rPr>
          <w:rFonts w:hint="eastAsia" w:ascii="仿宋_GB2312" w:hAnsi="仿宋_GB2312" w:eastAsia="仿宋_GB2312" w:cs="仿宋_GB2312"/>
          <w:sz w:val="32"/>
        </w:rPr>
        <w:t>附件１</w:t>
      </w:r>
    </w:p>
    <w:p>
      <w:pPr>
        <w:spacing w:line="600" w:lineRule="exact"/>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百校联百县——高校服务乡村振兴科技</w:t>
      </w:r>
    </w:p>
    <w:p>
      <w:pPr>
        <w:spacing w:line="600" w:lineRule="exact"/>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支撑行动计划重点领域</w:t>
      </w:r>
    </w:p>
    <w:p>
      <w:pPr>
        <w:spacing w:line="600" w:lineRule="exact"/>
        <w:jc w:val="center"/>
        <w:rPr>
          <w:rFonts w:ascii="仿宋_GB2312" w:hAnsi="仿宋_GB2312" w:eastAsia="仿宋_GB2312" w:cs="仿宋_GB2312"/>
          <w:sz w:val="32"/>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1.基础设施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仿宋_GB2312" w:hAnsi="仿宋_GB2312" w:eastAsia="仿宋_GB2312" w:cs="仿宋_GB2312"/>
          <w:sz w:val="32"/>
        </w:rPr>
        <w:t>围绕美丽乡村建设，帮助编制“多规合一”的实用性乡村规划。积极开展乡村道路、水电气、宽带、入厕等基础设施建设的研究，帮助解决基础设施建设中的技术问题和政策问题。</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2.农业产业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ascii="仿宋_GB2312" w:hAnsi="仿宋_GB2312" w:eastAsia="仿宋_GB2312" w:cs="仿宋_GB2312"/>
          <w:sz w:val="32"/>
        </w:rPr>
        <w:t>围绕湖北省稻米、小麦、家禽牲畜、蔬菜、茶叶、柑橘、食用菌、小龙虾、中药材等农</w:t>
      </w:r>
      <w:r>
        <w:rPr>
          <w:rFonts w:hint="eastAsia" w:ascii="仿宋_GB2312" w:hAnsi="仿宋_GB2312" w:eastAsia="仿宋_GB2312" w:cs="仿宋_GB2312"/>
          <w:sz w:val="32"/>
        </w:rPr>
        <w:t>产品，组织农业生产专家，指导农产品的种植、养殖，提高农产品的产量和质量。围绕紧缺农产品生产、特色农产品产地初加工和深加工、农产品全产业链标准化试点、农业产业化龙头企业“十百千万”工程、农业现代化示范区建设等方面，组织相关专家团队，开展科技攻关和决策咨询，助推农业产业体系、生产体系、经营体系现代化建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3.农村市场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仿宋_GB2312" w:hAnsi="仿宋_GB2312" w:eastAsia="仿宋_GB2312" w:cs="仿宋_GB2312"/>
          <w:sz w:val="32"/>
        </w:rPr>
        <w:t>围绕“一县一品”、“一乡一业”、“一业一品”等特色发展，乡村旅游、休闲农业、文化体验、健康养生、电子商务、民宿经济等新产业新业态，县乡村三级物流配送，农产品仓储保鲜冷链物流，返乡入乡创业园、孵化实训基础建设，农业跨境电商等方面，组织相关专家团队，深入一线调查研究，提出有价值的研究报告和咨询建议，助力提升农业市场化水平。</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4.种业资源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积极参加国家和省级农作物种质资源库建设、畜禽遗传改良计划和现代农业提升工程、长江野生鱼类人工繁育驯化科技攻关和规模化养殖、武汉国家现代农业产业科技创新中心建设、制种基地和良种繁育体系建设等，通过科技创新，提高农业良种化和供给保障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5.乡村旅游</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仿宋_GB2312" w:hAnsi="仿宋_GB2312" w:eastAsia="仿宋_GB2312" w:cs="仿宋_GB2312"/>
          <w:sz w:val="32"/>
        </w:rPr>
        <w:t>积极参与</w:t>
      </w:r>
      <w:r>
        <w:rPr>
          <w:rFonts w:ascii="仿宋_GB2312" w:hAnsi="仿宋_GB2312" w:eastAsia="仿宋_GB2312" w:cs="仿宋_GB2312"/>
          <w:sz w:val="32"/>
        </w:rPr>
        <w:t>国家级休闲农业示范县、美丽休闲乡村和湖北旅游强县、旅游名镇、旅游名村、旅游名街</w:t>
      </w:r>
      <w:r>
        <w:rPr>
          <w:rFonts w:hint="eastAsia" w:ascii="仿宋_GB2312" w:hAnsi="仿宋_GB2312" w:eastAsia="仿宋_GB2312" w:cs="仿宋_GB2312"/>
          <w:sz w:val="32"/>
        </w:rPr>
        <w:t>建设，组织团队帮助地方做好旅游发展总体规划、旅游区详细规划、景观规划设计、旅游项目可行性研究、文旅品牌打造与推广和旅游资源普查，开展文物古迹、历史建筑、传统民居保护。</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6.乡村教育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积极开展校校共建，</w:t>
      </w:r>
      <w:r>
        <w:rPr>
          <w:rFonts w:ascii="仿宋_GB2312" w:hAnsi="仿宋_GB2312" w:eastAsia="仿宋_GB2312" w:cs="仿宋_GB2312"/>
          <w:sz w:val="32"/>
        </w:rPr>
        <w:t>组织乡村教师培训、义务支教等活动，</w:t>
      </w:r>
      <w:r>
        <w:rPr>
          <w:rFonts w:hint="eastAsia" w:ascii="仿宋_GB2312" w:hAnsi="仿宋_GB2312" w:eastAsia="仿宋_GB2312" w:cs="仿宋_GB2312"/>
          <w:sz w:val="32"/>
        </w:rPr>
        <w:t>提高乡村教育水平，推动优质高职院校对口帮扶农村地区职业学校。大力发展面向农村的职业教育，有针对性地设置相关专业和课程，满足乡村振兴需要。加强乡村教育研究，研究提出乡村教育发展的政策和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7.乡村医疗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发挥高校医学专业和附属医院优势，为乡镇、农村医生举办职业技能培训提升，定期开展送医下乡活动，帮助乡镇、农村建设卫生院（卫生室）。深化远程诊疗系统建设，发挥分级诊疗制度优势，提升公共卫生服务质量。加大全科医学人才培养力度，逐步扩大订单定向本科和高职免费医学生培养规模。加强乡村医疗研究，研究提出乡村医疗发展的政策和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8.乡村文化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创作</w:t>
      </w:r>
      <w:r>
        <w:rPr>
          <w:rFonts w:ascii="仿宋_GB2312" w:hAnsi="仿宋_GB2312" w:eastAsia="仿宋_GB2312" w:cs="仿宋_GB2312"/>
          <w:sz w:val="32"/>
        </w:rPr>
        <w:t>一批反映农业发展、农村面貌、农民生活特别是乡村振兴实践的优秀文化作品</w:t>
      </w:r>
      <w:r>
        <w:rPr>
          <w:rFonts w:hint="eastAsia" w:ascii="仿宋_GB2312" w:hAnsi="仿宋_GB2312" w:eastAsia="仿宋_GB2312" w:cs="仿宋_GB2312"/>
          <w:sz w:val="32"/>
        </w:rPr>
        <w:t>，积极开展“送文化”下乡活动，</w:t>
      </w:r>
      <w:r>
        <w:rPr>
          <w:rFonts w:ascii="仿宋_GB2312" w:hAnsi="仿宋_GB2312" w:eastAsia="仿宋_GB2312" w:cs="仿宋_GB2312"/>
          <w:sz w:val="32"/>
        </w:rPr>
        <w:t>组织高校师生深入农村、贴近农民，开展群众性精神文明创建</w:t>
      </w:r>
      <w:r>
        <w:rPr>
          <w:rFonts w:hint="eastAsia" w:ascii="仿宋_GB2312" w:hAnsi="仿宋_GB2312" w:eastAsia="仿宋_GB2312" w:cs="仿宋_GB2312"/>
          <w:sz w:val="32"/>
        </w:rPr>
        <w:t>和</w:t>
      </w:r>
      <w:r>
        <w:rPr>
          <w:rFonts w:ascii="仿宋_GB2312" w:hAnsi="仿宋_GB2312" w:eastAsia="仿宋_GB2312" w:cs="仿宋_GB2312"/>
          <w:sz w:val="32"/>
        </w:rPr>
        <w:t>文化</w:t>
      </w:r>
      <w:r>
        <w:rPr>
          <w:rFonts w:hint="eastAsia" w:ascii="仿宋_GB2312" w:hAnsi="仿宋_GB2312" w:eastAsia="仿宋_GB2312" w:cs="仿宋_GB2312"/>
          <w:sz w:val="32"/>
        </w:rPr>
        <w:t>活动，根据需要开设“订单班”，定向培养地方戏剧、文化专业学生，培养本土文化人才。</w:t>
      </w:r>
      <w:r>
        <w:rPr>
          <w:rFonts w:ascii="仿宋_GB2312" w:hAnsi="仿宋_GB2312" w:eastAsia="仿宋_GB2312" w:cs="仿宋_GB2312"/>
          <w:sz w:val="32"/>
        </w:rPr>
        <w:t>整合乡村文化资源，动员文化、科普工作者投身乡村文化建设。</w:t>
      </w:r>
      <w:r>
        <w:rPr>
          <w:rFonts w:hint="eastAsia" w:ascii="仿宋_GB2312" w:hAnsi="仿宋_GB2312" w:eastAsia="仿宋_GB2312" w:cs="仿宋_GB2312"/>
          <w:sz w:val="32"/>
        </w:rPr>
        <w:t>加强乡村文化研究，研究提出乡村文化发展的政策和措施。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rPr>
      </w:pPr>
      <w:r>
        <w:rPr>
          <w:rFonts w:hint="eastAsia" w:ascii="黑体" w:hAnsi="黑体" w:eastAsia="黑体" w:cs="黑体"/>
          <w:sz w:val="32"/>
        </w:rPr>
        <w:t>9.乡村养老和社区服务</w:t>
      </w:r>
      <w:r>
        <w:rPr>
          <w:rFonts w:ascii="仿宋_GB2312" w:hAnsi="仿宋_GB2312" w:eastAsia="仿宋_GB2312" w:cs="仿宋_GB2312"/>
          <w:sz w:val="32"/>
        </w:rPr>
        <w:t>。</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rPr>
      </w:pPr>
      <w:r>
        <w:rPr>
          <w:rFonts w:hint="eastAsia" w:ascii="仿宋_GB2312" w:hAnsi="仿宋_GB2312" w:eastAsia="仿宋_GB2312" w:cs="仿宋_GB2312"/>
          <w:sz w:val="32"/>
        </w:rPr>
        <w:t>组织社会学、医学、护理学等专业大学生志愿者，深入农村养老院开展志愿服务，探索农村养老和社区服务模式，提出农村养老和社会服务相关政策建议。实施高校毕业生基层成长计划，鼓励毕业生报考大学生村官，帮助农村加强基层组织建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rPr>
      </w:pPr>
      <w:r>
        <w:rPr>
          <w:rFonts w:hint="eastAsia" w:ascii="黑体" w:hAnsi="黑体" w:eastAsia="黑体" w:cs="黑体"/>
          <w:sz w:val="32"/>
        </w:rPr>
        <w:t>10.乡村环境</w:t>
      </w:r>
    </w:p>
    <w:p>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ascii="仿宋_GB2312" w:hAnsi="仿宋_GB2312" w:eastAsia="仿宋_GB2312" w:cs="仿宋_GB2312"/>
          <w:sz w:val="32"/>
        </w:rPr>
      </w:pPr>
      <w:r>
        <w:rPr>
          <w:rFonts w:hint="eastAsia" w:ascii="仿宋_GB2312" w:hAnsi="仿宋_GB2312" w:eastAsia="仿宋_GB2312" w:cs="仿宋_GB2312"/>
          <w:sz w:val="32"/>
        </w:rPr>
        <w:t>积极参与农业面源污染治理，推广农业绿色技术与产品，开展农业污染关键技术攻关。</w:t>
      </w:r>
      <w:r>
        <w:rPr>
          <w:rFonts w:ascii="仿宋_GB2312" w:hAnsi="仿宋_GB2312" w:eastAsia="仿宋_GB2312" w:cs="仿宋_GB2312"/>
          <w:sz w:val="32"/>
        </w:rPr>
        <w:t>探索开展校地生态</w:t>
      </w:r>
      <w:r>
        <w:rPr>
          <w:rFonts w:hint="eastAsia" w:ascii="仿宋_GB2312" w:hAnsi="仿宋_GB2312" w:eastAsia="仿宋_GB2312" w:cs="仿宋_GB2312"/>
          <w:sz w:val="32"/>
        </w:rPr>
        <w:t>环保</w:t>
      </w:r>
      <w:r>
        <w:rPr>
          <w:rFonts w:ascii="仿宋_GB2312" w:hAnsi="仿宋_GB2312" w:eastAsia="仿宋_GB2312" w:cs="仿宋_GB2312"/>
          <w:sz w:val="32"/>
        </w:rPr>
        <w:t>建设试点，发挥大学生志愿者作用，积极</w:t>
      </w:r>
      <w:r>
        <w:rPr>
          <w:rFonts w:hint="eastAsia" w:ascii="仿宋_GB2312" w:hAnsi="仿宋_GB2312" w:eastAsia="仿宋_GB2312" w:cs="仿宋_GB2312"/>
          <w:sz w:val="32"/>
        </w:rPr>
        <w:t>参与农村</w:t>
      </w:r>
      <w:r>
        <w:rPr>
          <w:rFonts w:ascii="仿宋_GB2312" w:hAnsi="仿宋_GB2312" w:eastAsia="仿宋_GB2312" w:cs="仿宋_GB2312"/>
          <w:sz w:val="32"/>
        </w:rPr>
        <w:t>生态环保宣传教育。开展农村人居环境整治</w:t>
      </w:r>
      <w:r>
        <w:rPr>
          <w:rFonts w:hint="eastAsia" w:ascii="仿宋_GB2312" w:hAnsi="仿宋_GB2312" w:eastAsia="仿宋_GB2312" w:cs="仿宋_GB2312"/>
          <w:sz w:val="32"/>
        </w:rPr>
        <w:t>研究</w:t>
      </w:r>
      <w:r>
        <w:rPr>
          <w:rFonts w:ascii="仿宋_GB2312" w:hAnsi="仿宋_GB2312" w:eastAsia="仿宋_GB2312" w:cs="仿宋_GB2312"/>
          <w:sz w:val="32"/>
        </w:rPr>
        <w:t>，探索建立农村人居环境建设和管护长效机制。</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sz w:val="32"/>
        </w:rPr>
        <w:sectPr>
          <w:pgSz w:w="11906" w:h="16838"/>
          <w:pgMar w:top="1440" w:right="1800" w:bottom="1440" w:left="1800" w:header="851" w:footer="992" w:gutter="0"/>
          <w:cols w:space="425" w:num="1"/>
          <w:docGrid w:type="lines" w:linePitch="312" w:charSpace="0"/>
        </w:sectPr>
      </w:pP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附件2</w:t>
      </w:r>
    </w:p>
    <w:p>
      <w:pPr>
        <w:spacing w:line="600" w:lineRule="exact"/>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百校联百县——高校服务乡村振兴科技支撑行动计划项目汇总表</w:t>
      </w:r>
    </w:p>
    <w:tbl>
      <w:tblPr>
        <w:tblStyle w:val="11"/>
        <w:tblpPr w:leftFromText="180" w:rightFromText="180" w:vertAnchor="text" w:horzAnchor="page" w:tblpX="1501" w:tblpY="545"/>
        <w:tblOverlap w:val="never"/>
        <w:tblW w:w="14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360"/>
        <w:gridCol w:w="1077"/>
        <w:gridCol w:w="1354"/>
        <w:gridCol w:w="1432"/>
        <w:gridCol w:w="1435"/>
        <w:gridCol w:w="1435"/>
        <w:gridCol w:w="2091"/>
        <w:gridCol w:w="1337"/>
        <w:gridCol w:w="136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6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360"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077"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354"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项目类型</w:t>
            </w:r>
          </w:p>
        </w:tc>
        <w:tc>
          <w:tcPr>
            <w:tcW w:w="1432"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项目类别</w:t>
            </w:r>
          </w:p>
        </w:tc>
        <w:tc>
          <w:tcPr>
            <w:tcW w:w="1435"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服务县市</w:t>
            </w:r>
          </w:p>
        </w:tc>
        <w:tc>
          <w:tcPr>
            <w:tcW w:w="1435"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服务单位</w:t>
            </w:r>
          </w:p>
        </w:tc>
        <w:tc>
          <w:tcPr>
            <w:tcW w:w="2091"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主要任务</w:t>
            </w:r>
          </w:p>
        </w:tc>
        <w:tc>
          <w:tcPr>
            <w:tcW w:w="1337"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项目进展</w:t>
            </w:r>
          </w:p>
        </w:tc>
        <w:tc>
          <w:tcPr>
            <w:tcW w:w="1362"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主要成效</w:t>
            </w:r>
          </w:p>
        </w:tc>
        <w:tc>
          <w:tcPr>
            <w:tcW w:w="908" w:type="dxa"/>
          </w:tcPr>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0" w:type="dxa"/>
          </w:tcPr>
          <w:p>
            <w:pPr>
              <w:spacing w:line="600" w:lineRule="exact"/>
              <w:jc w:val="center"/>
              <w:rPr>
                <w:rFonts w:ascii="仿宋_GB2312" w:hAnsi="仿宋_GB2312" w:eastAsia="仿宋_GB2312" w:cs="仿宋_GB2312"/>
                <w:sz w:val="28"/>
                <w:szCs w:val="28"/>
              </w:rPr>
            </w:pPr>
          </w:p>
        </w:tc>
        <w:tc>
          <w:tcPr>
            <w:tcW w:w="1360" w:type="dxa"/>
          </w:tcPr>
          <w:p>
            <w:pPr>
              <w:spacing w:line="600" w:lineRule="exact"/>
              <w:jc w:val="center"/>
              <w:rPr>
                <w:rFonts w:ascii="仿宋_GB2312" w:hAnsi="仿宋_GB2312" w:eastAsia="仿宋_GB2312" w:cs="仿宋_GB2312"/>
                <w:sz w:val="28"/>
                <w:szCs w:val="28"/>
              </w:rPr>
            </w:pPr>
          </w:p>
        </w:tc>
        <w:tc>
          <w:tcPr>
            <w:tcW w:w="1077" w:type="dxa"/>
          </w:tcPr>
          <w:p>
            <w:pPr>
              <w:spacing w:line="600" w:lineRule="exact"/>
              <w:jc w:val="center"/>
              <w:rPr>
                <w:rFonts w:ascii="仿宋_GB2312" w:hAnsi="仿宋_GB2312" w:eastAsia="仿宋_GB2312" w:cs="仿宋_GB2312"/>
                <w:sz w:val="28"/>
                <w:szCs w:val="28"/>
              </w:rPr>
            </w:pPr>
          </w:p>
        </w:tc>
        <w:tc>
          <w:tcPr>
            <w:tcW w:w="1354" w:type="dxa"/>
          </w:tcPr>
          <w:p>
            <w:pPr>
              <w:spacing w:line="600" w:lineRule="exact"/>
              <w:jc w:val="center"/>
              <w:rPr>
                <w:rFonts w:ascii="仿宋_GB2312" w:hAnsi="仿宋_GB2312" w:eastAsia="仿宋_GB2312" w:cs="仿宋_GB2312"/>
                <w:sz w:val="28"/>
                <w:szCs w:val="28"/>
              </w:rPr>
            </w:pPr>
          </w:p>
        </w:tc>
        <w:tc>
          <w:tcPr>
            <w:tcW w:w="1432"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2091" w:type="dxa"/>
          </w:tcPr>
          <w:p>
            <w:pPr>
              <w:spacing w:line="600" w:lineRule="exact"/>
              <w:jc w:val="center"/>
              <w:rPr>
                <w:rFonts w:ascii="仿宋_GB2312" w:hAnsi="仿宋_GB2312" w:eastAsia="仿宋_GB2312" w:cs="仿宋_GB2312"/>
                <w:sz w:val="28"/>
                <w:szCs w:val="28"/>
              </w:rPr>
            </w:pPr>
          </w:p>
        </w:tc>
        <w:tc>
          <w:tcPr>
            <w:tcW w:w="1337" w:type="dxa"/>
          </w:tcPr>
          <w:p>
            <w:pPr>
              <w:spacing w:line="600" w:lineRule="exact"/>
              <w:jc w:val="center"/>
              <w:rPr>
                <w:rFonts w:ascii="仿宋_GB2312" w:hAnsi="仿宋_GB2312" w:eastAsia="仿宋_GB2312" w:cs="仿宋_GB2312"/>
                <w:sz w:val="28"/>
                <w:szCs w:val="28"/>
              </w:rPr>
            </w:pPr>
          </w:p>
        </w:tc>
        <w:tc>
          <w:tcPr>
            <w:tcW w:w="1362" w:type="dxa"/>
          </w:tcPr>
          <w:p>
            <w:pPr>
              <w:spacing w:line="600" w:lineRule="exact"/>
              <w:jc w:val="center"/>
              <w:rPr>
                <w:rFonts w:ascii="仿宋_GB2312" w:hAnsi="仿宋_GB2312" w:eastAsia="仿宋_GB2312" w:cs="仿宋_GB2312"/>
                <w:sz w:val="28"/>
                <w:szCs w:val="28"/>
              </w:rPr>
            </w:pPr>
          </w:p>
        </w:tc>
        <w:tc>
          <w:tcPr>
            <w:tcW w:w="908"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0" w:type="dxa"/>
          </w:tcPr>
          <w:p>
            <w:pPr>
              <w:spacing w:line="600" w:lineRule="exact"/>
              <w:jc w:val="center"/>
              <w:rPr>
                <w:rFonts w:ascii="仿宋_GB2312" w:hAnsi="仿宋_GB2312" w:eastAsia="仿宋_GB2312" w:cs="仿宋_GB2312"/>
                <w:sz w:val="28"/>
                <w:szCs w:val="28"/>
              </w:rPr>
            </w:pPr>
          </w:p>
        </w:tc>
        <w:tc>
          <w:tcPr>
            <w:tcW w:w="1360" w:type="dxa"/>
          </w:tcPr>
          <w:p>
            <w:pPr>
              <w:spacing w:line="600" w:lineRule="exact"/>
              <w:jc w:val="center"/>
              <w:rPr>
                <w:rFonts w:ascii="仿宋_GB2312" w:hAnsi="仿宋_GB2312" w:eastAsia="仿宋_GB2312" w:cs="仿宋_GB2312"/>
                <w:sz w:val="28"/>
                <w:szCs w:val="28"/>
              </w:rPr>
            </w:pPr>
          </w:p>
        </w:tc>
        <w:tc>
          <w:tcPr>
            <w:tcW w:w="1077" w:type="dxa"/>
          </w:tcPr>
          <w:p>
            <w:pPr>
              <w:spacing w:line="600" w:lineRule="exact"/>
              <w:jc w:val="center"/>
              <w:rPr>
                <w:rFonts w:ascii="仿宋_GB2312" w:hAnsi="仿宋_GB2312" w:eastAsia="仿宋_GB2312" w:cs="仿宋_GB2312"/>
                <w:sz w:val="28"/>
                <w:szCs w:val="28"/>
              </w:rPr>
            </w:pPr>
          </w:p>
        </w:tc>
        <w:tc>
          <w:tcPr>
            <w:tcW w:w="1354" w:type="dxa"/>
          </w:tcPr>
          <w:p>
            <w:pPr>
              <w:spacing w:line="600" w:lineRule="exact"/>
              <w:jc w:val="center"/>
              <w:rPr>
                <w:rFonts w:ascii="仿宋_GB2312" w:hAnsi="仿宋_GB2312" w:eastAsia="仿宋_GB2312" w:cs="仿宋_GB2312"/>
                <w:sz w:val="28"/>
                <w:szCs w:val="28"/>
              </w:rPr>
            </w:pPr>
          </w:p>
        </w:tc>
        <w:tc>
          <w:tcPr>
            <w:tcW w:w="1432"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2091" w:type="dxa"/>
          </w:tcPr>
          <w:p>
            <w:pPr>
              <w:spacing w:line="600" w:lineRule="exact"/>
              <w:jc w:val="center"/>
              <w:rPr>
                <w:rFonts w:ascii="仿宋_GB2312" w:hAnsi="仿宋_GB2312" w:eastAsia="仿宋_GB2312" w:cs="仿宋_GB2312"/>
                <w:sz w:val="28"/>
                <w:szCs w:val="28"/>
              </w:rPr>
            </w:pPr>
          </w:p>
        </w:tc>
        <w:tc>
          <w:tcPr>
            <w:tcW w:w="1337" w:type="dxa"/>
          </w:tcPr>
          <w:p>
            <w:pPr>
              <w:spacing w:line="600" w:lineRule="exact"/>
              <w:jc w:val="center"/>
              <w:rPr>
                <w:rFonts w:ascii="仿宋_GB2312" w:hAnsi="仿宋_GB2312" w:eastAsia="仿宋_GB2312" w:cs="仿宋_GB2312"/>
                <w:sz w:val="28"/>
                <w:szCs w:val="28"/>
              </w:rPr>
            </w:pPr>
          </w:p>
        </w:tc>
        <w:tc>
          <w:tcPr>
            <w:tcW w:w="1362" w:type="dxa"/>
          </w:tcPr>
          <w:p>
            <w:pPr>
              <w:spacing w:line="600" w:lineRule="exact"/>
              <w:jc w:val="center"/>
              <w:rPr>
                <w:rFonts w:ascii="仿宋_GB2312" w:hAnsi="仿宋_GB2312" w:eastAsia="仿宋_GB2312" w:cs="仿宋_GB2312"/>
                <w:sz w:val="28"/>
                <w:szCs w:val="28"/>
              </w:rPr>
            </w:pPr>
          </w:p>
        </w:tc>
        <w:tc>
          <w:tcPr>
            <w:tcW w:w="908"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0" w:type="dxa"/>
          </w:tcPr>
          <w:p>
            <w:pPr>
              <w:spacing w:line="600" w:lineRule="exact"/>
              <w:jc w:val="center"/>
              <w:rPr>
                <w:rFonts w:ascii="仿宋_GB2312" w:hAnsi="仿宋_GB2312" w:eastAsia="仿宋_GB2312" w:cs="仿宋_GB2312"/>
                <w:sz w:val="28"/>
                <w:szCs w:val="28"/>
              </w:rPr>
            </w:pPr>
          </w:p>
        </w:tc>
        <w:tc>
          <w:tcPr>
            <w:tcW w:w="1360" w:type="dxa"/>
          </w:tcPr>
          <w:p>
            <w:pPr>
              <w:spacing w:line="600" w:lineRule="exact"/>
              <w:jc w:val="center"/>
              <w:rPr>
                <w:rFonts w:ascii="仿宋_GB2312" w:hAnsi="仿宋_GB2312" w:eastAsia="仿宋_GB2312" w:cs="仿宋_GB2312"/>
                <w:sz w:val="28"/>
                <w:szCs w:val="28"/>
              </w:rPr>
            </w:pPr>
          </w:p>
        </w:tc>
        <w:tc>
          <w:tcPr>
            <w:tcW w:w="1077" w:type="dxa"/>
          </w:tcPr>
          <w:p>
            <w:pPr>
              <w:spacing w:line="600" w:lineRule="exact"/>
              <w:jc w:val="center"/>
              <w:rPr>
                <w:rFonts w:ascii="仿宋_GB2312" w:hAnsi="仿宋_GB2312" w:eastAsia="仿宋_GB2312" w:cs="仿宋_GB2312"/>
                <w:sz w:val="28"/>
                <w:szCs w:val="28"/>
              </w:rPr>
            </w:pPr>
          </w:p>
        </w:tc>
        <w:tc>
          <w:tcPr>
            <w:tcW w:w="1354" w:type="dxa"/>
          </w:tcPr>
          <w:p>
            <w:pPr>
              <w:spacing w:line="600" w:lineRule="exact"/>
              <w:jc w:val="center"/>
              <w:rPr>
                <w:rFonts w:ascii="仿宋_GB2312" w:hAnsi="仿宋_GB2312" w:eastAsia="仿宋_GB2312" w:cs="仿宋_GB2312"/>
                <w:sz w:val="28"/>
                <w:szCs w:val="28"/>
              </w:rPr>
            </w:pPr>
          </w:p>
        </w:tc>
        <w:tc>
          <w:tcPr>
            <w:tcW w:w="1432"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2091" w:type="dxa"/>
          </w:tcPr>
          <w:p>
            <w:pPr>
              <w:spacing w:line="600" w:lineRule="exact"/>
              <w:jc w:val="center"/>
              <w:rPr>
                <w:rFonts w:ascii="仿宋_GB2312" w:hAnsi="仿宋_GB2312" w:eastAsia="仿宋_GB2312" w:cs="仿宋_GB2312"/>
                <w:sz w:val="28"/>
                <w:szCs w:val="28"/>
              </w:rPr>
            </w:pPr>
          </w:p>
        </w:tc>
        <w:tc>
          <w:tcPr>
            <w:tcW w:w="1337" w:type="dxa"/>
          </w:tcPr>
          <w:p>
            <w:pPr>
              <w:spacing w:line="600" w:lineRule="exact"/>
              <w:jc w:val="center"/>
              <w:rPr>
                <w:rFonts w:ascii="仿宋_GB2312" w:hAnsi="仿宋_GB2312" w:eastAsia="仿宋_GB2312" w:cs="仿宋_GB2312"/>
                <w:sz w:val="28"/>
                <w:szCs w:val="28"/>
              </w:rPr>
            </w:pPr>
          </w:p>
        </w:tc>
        <w:tc>
          <w:tcPr>
            <w:tcW w:w="1362" w:type="dxa"/>
          </w:tcPr>
          <w:p>
            <w:pPr>
              <w:spacing w:line="600" w:lineRule="exact"/>
              <w:jc w:val="center"/>
              <w:rPr>
                <w:rFonts w:ascii="仿宋_GB2312" w:hAnsi="仿宋_GB2312" w:eastAsia="仿宋_GB2312" w:cs="仿宋_GB2312"/>
                <w:sz w:val="28"/>
                <w:szCs w:val="28"/>
              </w:rPr>
            </w:pPr>
          </w:p>
        </w:tc>
        <w:tc>
          <w:tcPr>
            <w:tcW w:w="908" w:type="dxa"/>
          </w:tcPr>
          <w:p>
            <w:pPr>
              <w:spacing w:line="6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0" w:type="dxa"/>
          </w:tcPr>
          <w:p>
            <w:pPr>
              <w:spacing w:line="600" w:lineRule="exact"/>
              <w:jc w:val="center"/>
              <w:rPr>
                <w:rFonts w:ascii="仿宋_GB2312" w:hAnsi="仿宋_GB2312" w:eastAsia="仿宋_GB2312" w:cs="仿宋_GB2312"/>
                <w:sz w:val="28"/>
                <w:szCs w:val="28"/>
              </w:rPr>
            </w:pPr>
          </w:p>
        </w:tc>
        <w:tc>
          <w:tcPr>
            <w:tcW w:w="1360" w:type="dxa"/>
          </w:tcPr>
          <w:p>
            <w:pPr>
              <w:spacing w:line="600" w:lineRule="exact"/>
              <w:jc w:val="center"/>
              <w:rPr>
                <w:rFonts w:ascii="仿宋_GB2312" w:hAnsi="仿宋_GB2312" w:eastAsia="仿宋_GB2312" w:cs="仿宋_GB2312"/>
                <w:sz w:val="28"/>
                <w:szCs w:val="28"/>
              </w:rPr>
            </w:pPr>
          </w:p>
        </w:tc>
        <w:tc>
          <w:tcPr>
            <w:tcW w:w="1077" w:type="dxa"/>
          </w:tcPr>
          <w:p>
            <w:pPr>
              <w:spacing w:line="600" w:lineRule="exact"/>
              <w:jc w:val="center"/>
              <w:rPr>
                <w:rFonts w:ascii="仿宋_GB2312" w:hAnsi="仿宋_GB2312" w:eastAsia="仿宋_GB2312" w:cs="仿宋_GB2312"/>
                <w:sz w:val="28"/>
                <w:szCs w:val="28"/>
              </w:rPr>
            </w:pPr>
          </w:p>
        </w:tc>
        <w:tc>
          <w:tcPr>
            <w:tcW w:w="1354" w:type="dxa"/>
          </w:tcPr>
          <w:p>
            <w:pPr>
              <w:spacing w:line="600" w:lineRule="exact"/>
              <w:jc w:val="center"/>
              <w:rPr>
                <w:rFonts w:ascii="仿宋_GB2312" w:hAnsi="仿宋_GB2312" w:eastAsia="仿宋_GB2312" w:cs="仿宋_GB2312"/>
                <w:sz w:val="28"/>
                <w:szCs w:val="28"/>
              </w:rPr>
            </w:pPr>
          </w:p>
        </w:tc>
        <w:tc>
          <w:tcPr>
            <w:tcW w:w="1432"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1435" w:type="dxa"/>
          </w:tcPr>
          <w:p>
            <w:pPr>
              <w:spacing w:line="600" w:lineRule="exact"/>
              <w:jc w:val="center"/>
              <w:rPr>
                <w:rFonts w:ascii="仿宋_GB2312" w:hAnsi="仿宋_GB2312" w:eastAsia="仿宋_GB2312" w:cs="仿宋_GB2312"/>
                <w:sz w:val="28"/>
                <w:szCs w:val="28"/>
              </w:rPr>
            </w:pPr>
          </w:p>
        </w:tc>
        <w:tc>
          <w:tcPr>
            <w:tcW w:w="2091" w:type="dxa"/>
          </w:tcPr>
          <w:p>
            <w:pPr>
              <w:spacing w:line="600" w:lineRule="exact"/>
              <w:jc w:val="center"/>
              <w:rPr>
                <w:rFonts w:ascii="仿宋_GB2312" w:hAnsi="仿宋_GB2312" w:eastAsia="仿宋_GB2312" w:cs="仿宋_GB2312"/>
                <w:sz w:val="28"/>
                <w:szCs w:val="28"/>
              </w:rPr>
            </w:pPr>
          </w:p>
        </w:tc>
        <w:tc>
          <w:tcPr>
            <w:tcW w:w="1337" w:type="dxa"/>
          </w:tcPr>
          <w:p>
            <w:pPr>
              <w:spacing w:line="600" w:lineRule="exact"/>
              <w:jc w:val="center"/>
              <w:rPr>
                <w:rFonts w:ascii="仿宋_GB2312" w:hAnsi="仿宋_GB2312" w:eastAsia="仿宋_GB2312" w:cs="仿宋_GB2312"/>
                <w:sz w:val="28"/>
                <w:szCs w:val="28"/>
              </w:rPr>
            </w:pPr>
          </w:p>
        </w:tc>
        <w:tc>
          <w:tcPr>
            <w:tcW w:w="1362" w:type="dxa"/>
          </w:tcPr>
          <w:p>
            <w:pPr>
              <w:spacing w:line="600" w:lineRule="exact"/>
              <w:jc w:val="center"/>
              <w:rPr>
                <w:rFonts w:ascii="仿宋_GB2312" w:hAnsi="仿宋_GB2312" w:eastAsia="仿宋_GB2312" w:cs="仿宋_GB2312"/>
                <w:sz w:val="28"/>
                <w:szCs w:val="28"/>
              </w:rPr>
            </w:pPr>
          </w:p>
        </w:tc>
        <w:tc>
          <w:tcPr>
            <w:tcW w:w="908" w:type="dxa"/>
          </w:tcPr>
          <w:p>
            <w:pPr>
              <w:spacing w:line="600" w:lineRule="exact"/>
              <w:jc w:val="center"/>
              <w:rPr>
                <w:rFonts w:ascii="仿宋_GB2312" w:hAnsi="仿宋_GB2312" w:eastAsia="仿宋_GB2312" w:cs="仿宋_GB2312"/>
                <w:sz w:val="28"/>
                <w:szCs w:val="28"/>
              </w:rPr>
            </w:pPr>
          </w:p>
        </w:tc>
      </w:tr>
    </w:tbl>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填报学校（公章）：                     联系人：          联系方式：</w:t>
      </w:r>
    </w:p>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1.项目类型为成果转化、技术开发、技术转让、技术咨询、技术服务、社会咨询等；2.项目类别为附件2中的十大领域；3.项目进展可填正在进行、拟开展；4.服务单位指乡镇、村、农户或企事业单位；5.主要任务、主要成效在电子版中可适当扩展。</w:t>
      </w:r>
    </w:p>
    <w:p>
      <w:pPr>
        <w:ind w:firstLine="420"/>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DF5CE"/>
    <w:multiLevelType w:val="singleLevel"/>
    <w:tmpl w:val="C60DF5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2111"/>
    <w:rsid w:val="000173C3"/>
    <w:rsid w:val="00033DF7"/>
    <w:rsid w:val="00134320"/>
    <w:rsid w:val="00171CFA"/>
    <w:rsid w:val="002E2111"/>
    <w:rsid w:val="0043018F"/>
    <w:rsid w:val="00453278"/>
    <w:rsid w:val="00534DB6"/>
    <w:rsid w:val="005601F3"/>
    <w:rsid w:val="0056154D"/>
    <w:rsid w:val="00710414"/>
    <w:rsid w:val="0073354E"/>
    <w:rsid w:val="00771C5B"/>
    <w:rsid w:val="008D493D"/>
    <w:rsid w:val="009440C3"/>
    <w:rsid w:val="00980C3E"/>
    <w:rsid w:val="00AB69F2"/>
    <w:rsid w:val="00B71C48"/>
    <w:rsid w:val="00CC6803"/>
    <w:rsid w:val="00DB2AA1"/>
    <w:rsid w:val="00EA3F5D"/>
    <w:rsid w:val="00F20417"/>
    <w:rsid w:val="00F4106B"/>
    <w:rsid w:val="00FA1F04"/>
    <w:rsid w:val="00FB5A4C"/>
    <w:rsid w:val="00FD7996"/>
    <w:rsid w:val="1F370A57"/>
    <w:rsid w:val="28EE4C45"/>
    <w:rsid w:val="297B7365"/>
    <w:rsid w:val="2E2C1AFB"/>
    <w:rsid w:val="39385C8C"/>
    <w:rsid w:val="3C6164E3"/>
    <w:rsid w:val="4A1C5DC7"/>
    <w:rsid w:val="62B73947"/>
    <w:rsid w:val="6C09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13"/>
    <w:qFormat/>
    <w:uiPriority w:val="9"/>
    <w:pPr>
      <w:keepNext/>
      <w:keepLines/>
      <w:spacing w:beforeLines="50" w:afterLines="50"/>
      <w:outlineLvl w:val="0"/>
    </w:pPr>
    <w:rPr>
      <w:b/>
      <w:bCs/>
      <w:kern w:val="44"/>
      <w:sz w:val="24"/>
      <w:szCs w:val="44"/>
      <w:lang w:eastAsia="en-US"/>
    </w:rPr>
  </w:style>
  <w:style w:type="paragraph" w:styleId="3">
    <w:name w:val="heading 2"/>
    <w:basedOn w:val="1"/>
    <w:next w:val="1"/>
    <w:link w:val="14"/>
    <w:unhideWhenUsed/>
    <w:qFormat/>
    <w:uiPriority w:val="9"/>
    <w:pPr>
      <w:keepNext/>
      <w:keepLines/>
      <w:spacing w:beforeLines="50" w:afterLines="50"/>
      <w:outlineLvl w:val="1"/>
    </w:pPr>
    <w:rPr>
      <w:rFonts w:asciiTheme="majorHAnsi" w:hAnsiTheme="majorHAnsi" w:eastAsiaTheme="majorEastAsia" w:cstheme="majorBidi"/>
      <w:b/>
      <w:bCs/>
      <w:szCs w:val="32"/>
    </w:rPr>
  </w:style>
  <w:style w:type="paragraph" w:styleId="4">
    <w:name w:val="heading 3"/>
    <w:basedOn w:val="1"/>
    <w:next w:val="1"/>
    <w:link w:val="15"/>
    <w:unhideWhenUsed/>
    <w:qFormat/>
    <w:uiPriority w:val="9"/>
    <w:pPr>
      <w:keepNext/>
      <w:keepLines/>
      <w:outlineLvl w:val="2"/>
    </w:pPr>
    <w:rPr>
      <w:b/>
      <w:bCs/>
      <w:szCs w:val="32"/>
    </w:rPr>
  </w:style>
  <w:style w:type="paragraph" w:styleId="5">
    <w:name w:val="heading 4"/>
    <w:basedOn w:val="1"/>
    <w:next w:val="1"/>
    <w:link w:val="16"/>
    <w:unhideWhenUsed/>
    <w:qFormat/>
    <w:uiPriority w:val="9"/>
    <w:pPr>
      <w:keepNext/>
      <w:keepLines/>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link w:val="21"/>
    <w:qFormat/>
    <w:uiPriority w:val="0"/>
    <w:pPr>
      <w:ind w:firstLine="576"/>
    </w:pPr>
  </w:style>
  <w:style w:type="paragraph" w:styleId="7">
    <w:name w:val="footer"/>
    <w:basedOn w:val="1"/>
    <w:link w:val="18"/>
    <w:qFormat/>
    <w:uiPriority w:val="99"/>
    <w:pPr>
      <w:tabs>
        <w:tab w:val="center" w:pos="4153"/>
        <w:tab w:val="right" w:pos="8306"/>
      </w:tabs>
      <w:snapToGrid w:val="0"/>
      <w:ind w:firstLine="56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ind w:firstLine="560"/>
      <w:jc w:val="center"/>
    </w:pPr>
    <w:rPr>
      <w:sz w:val="18"/>
      <w:szCs w:val="18"/>
    </w:rPr>
  </w:style>
  <w:style w:type="paragraph" w:styleId="9">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eastAsia="宋体"/>
      <w:b/>
      <w:bCs/>
      <w:kern w:val="44"/>
      <w:sz w:val="24"/>
      <w:szCs w:val="44"/>
      <w:lang w:eastAsia="en-US"/>
    </w:rPr>
  </w:style>
  <w:style w:type="character" w:customStyle="1" w:styleId="14">
    <w:name w:val="标题 2 Char"/>
    <w:basedOn w:val="12"/>
    <w:link w:val="3"/>
    <w:qFormat/>
    <w:uiPriority w:val="9"/>
    <w:rPr>
      <w:rFonts w:asciiTheme="majorHAnsi" w:hAnsiTheme="majorHAnsi" w:eastAsiaTheme="majorEastAsia" w:cstheme="majorBidi"/>
      <w:b/>
      <w:bCs/>
      <w:szCs w:val="32"/>
    </w:rPr>
  </w:style>
  <w:style w:type="character" w:customStyle="1" w:styleId="15">
    <w:name w:val="标题 3 Char"/>
    <w:basedOn w:val="12"/>
    <w:link w:val="4"/>
    <w:qFormat/>
    <w:uiPriority w:val="9"/>
    <w:rPr>
      <w:b/>
      <w:bCs/>
      <w:szCs w:val="32"/>
    </w:rPr>
  </w:style>
  <w:style w:type="character" w:customStyle="1" w:styleId="16">
    <w:name w:val="标题 4 Char"/>
    <w:basedOn w:val="12"/>
    <w:link w:val="5"/>
    <w:qFormat/>
    <w:uiPriority w:val="9"/>
    <w:rPr>
      <w:rFonts w:asciiTheme="majorHAnsi" w:hAnsiTheme="majorHAnsi" w:eastAsiaTheme="majorEastAsia" w:cstheme="majorBidi"/>
      <w:b/>
      <w:bCs/>
      <w:szCs w:val="28"/>
    </w:rPr>
  </w:style>
  <w:style w:type="character" w:customStyle="1" w:styleId="17">
    <w:name w:val="页眉 Char"/>
    <w:basedOn w:val="12"/>
    <w:link w:val="8"/>
    <w:qFormat/>
    <w:uiPriority w:val="99"/>
    <w:rPr>
      <w:rFonts w:ascii="Times New Roman" w:hAnsi="Times New Roman"/>
      <w:sz w:val="18"/>
      <w:szCs w:val="18"/>
    </w:rPr>
  </w:style>
  <w:style w:type="character" w:customStyle="1" w:styleId="18">
    <w:name w:val="页脚 Char"/>
    <w:basedOn w:val="12"/>
    <w:link w:val="7"/>
    <w:qFormat/>
    <w:uiPriority w:val="99"/>
    <w:rPr>
      <w:rFonts w:ascii="Times New Roman" w:hAnsi="Times New Roman"/>
      <w:sz w:val="18"/>
      <w:szCs w:val="18"/>
    </w:rPr>
  </w:style>
  <w:style w:type="character" w:customStyle="1" w:styleId="19">
    <w:name w:val="标题 Char"/>
    <w:basedOn w:val="12"/>
    <w:link w:val="9"/>
    <w:qFormat/>
    <w:uiPriority w:val="10"/>
    <w:rPr>
      <w:rFonts w:eastAsia="宋体" w:asciiTheme="majorHAnsi" w:hAnsiTheme="majorHAnsi" w:cstheme="majorBidi"/>
      <w:b/>
      <w:bCs/>
      <w:sz w:val="32"/>
      <w:szCs w:val="32"/>
    </w:rPr>
  </w:style>
  <w:style w:type="paragraph" w:styleId="20">
    <w:name w:val="List Paragraph"/>
    <w:basedOn w:val="1"/>
    <w:qFormat/>
    <w:uiPriority w:val="34"/>
    <w:pPr>
      <w:ind w:firstLine="420"/>
    </w:pPr>
  </w:style>
  <w:style w:type="character" w:customStyle="1" w:styleId="21">
    <w:name w:val="正文文本缩进 Char"/>
    <w:basedOn w:val="12"/>
    <w:link w:val="6"/>
    <w:qFormat/>
    <w:uiPriority w:val="0"/>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453</Words>
  <Characters>2586</Characters>
  <Lines>21</Lines>
  <Paragraphs>6</Paragraphs>
  <TotalTime>679</TotalTime>
  <ScaleCrop>false</ScaleCrop>
  <LinksUpToDate>false</LinksUpToDate>
  <CharactersWithSpaces>3033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2021-03-09T11:10:00Z</dcterms:created>
  <dc:creator>lenovo</dc:creator>
  <cp:lastModifiedBy>kjc1213</cp:lastModifiedBy>
  <cp:lastPrinted>2021-03-10T00:53:00Z</cp:lastPrinted>
  <dcterms:modified xsi:type="dcterms:W3CDTF">2021-03-15T06:27:18Z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