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ECEE2">
      <w:pPr>
        <w:widowControl/>
        <w:spacing w:line="360" w:lineRule="auto"/>
        <w:jc w:val="left"/>
      </w:pPr>
    </w:p>
    <w:p w14:paraId="4AF4E26B">
      <w:pPr>
        <w:spacing w:line="360" w:lineRule="auto"/>
        <w:rPr>
          <w:rFonts w:hint="eastAsia" w:ascii="微软雅黑" w:hAnsi="微软雅黑" w:eastAsia="微软雅黑" w:cs="Times New Roman"/>
          <w:b/>
          <w:bCs/>
          <w:sz w:val="52"/>
          <w:szCs w:val="52"/>
        </w:rPr>
      </w:pPr>
    </w:p>
    <w:p w14:paraId="4B2F3C9C">
      <w:pPr>
        <w:spacing w:line="360" w:lineRule="auto"/>
        <w:jc w:val="center"/>
        <w:rPr>
          <w:rFonts w:hint="eastAsia" w:ascii="微软雅黑" w:hAnsi="微软雅黑" w:eastAsia="微软雅黑" w:cs="Times New Roman"/>
          <w:b/>
          <w:bCs/>
          <w:sz w:val="52"/>
          <w:szCs w:val="52"/>
        </w:rPr>
      </w:pPr>
      <w:r>
        <mc:AlternateContent>
          <mc:Choice Requires="wps">
            <w:drawing>
              <wp:anchor distT="0" distB="0" distL="114300" distR="114300" simplePos="0" relativeHeight="251659264" behindDoc="0" locked="0" layoutInCell="1" allowOverlap="1">
                <wp:simplePos x="0" y="0"/>
                <wp:positionH relativeFrom="column">
                  <wp:posOffset>-1129665</wp:posOffset>
                </wp:positionH>
                <wp:positionV relativeFrom="paragraph">
                  <wp:posOffset>515620</wp:posOffset>
                </wp:positionV>
                <wp:extent cx="7583170" cy="2210435"/>
                <wp:effectExtent l="0" t="0" r="17780" b="18415"/>
                <wp:wrapNone/>
                <wp:docPr id="2" name="Rectangle 2"/>
                <wp:cNvGraphicFramePr/>
                <a:graphic xmlns:a="http://schemas.openxmlformats.org/drawingml/2006/main">
                  <a:graphicData uri="http://schemas.microsoft.com/office/word/2010/wordprocessingShape">
                    <wps:wsp>
                      <wps:cNvSpPr/>
                      <wps:spPr>
                        <a:xfrm>
                          <a:off x="0" y="0"/>
                          <a:ext cx="7583170" cy="2210435"/>
                        </a:xfrm>
                        <a:prstGeom prst="rect">
                          <a:avLst/>
                        </a:prstGeom>
                        <a:solidFill>
                          <a:srgbClr val="C5E0B3"/>
                        </a:solidFill>
                        <a:ln>
                          <a:noFill/>
                        </a:ln>
                      </wps:spPr>
                      <wps:txbx>
                        <w:txbxContent>
                          <w:p w14:paraId="5A5B1882">
                            <w:pPr>
                              <w:jc w:val="center"/>
                              <w:rPr>
                                <w:rFonts w:hint="eastAsia" w:ascii="黑体" w:hAnsi="黑体" w:eastAsia="黑体" w:cs="黑体"/>
                                <w:b/>
                                <w:bCs/>
                                <w:sz w:val="48"/>
                                <w:szCs w:val="48"/>
                              </w:rPr>
                            </w:pPr>
                          </w:p>
                          <w:p w14:paraId="0B4CE62C">
                            <w:pPr>
                              <w:jc w:val="center"/>
                              <w:rPr>
                                <w:rFonts w:hint="eastAsia" w:ascii="黑体" w:hAnsi="黑体" w:eastAsia="黑体" w:cs="黑体"/>
                                <w:b/>
                                <w:bCs/>
                                <w:color w:val="000000"/>
                                <w:sz w:val="52"/>
                                <w:szCs w:val="52"/>
                              </w:rPr>
                            </w:pPr>
                            <w:r>
                              <w:rPr>
                                <w:rFonts w:hint="eastAsia" w:ascii="黑体" w:hAnsi="黑体" w:eastAsia="黑体" w:cs="黑体"/>
                                <w:b/>
                                <w:bCs/>
                                <w:sz w:val="52"/>
                                <w:szCs w:val="52"/>
                              </w:rPr>
                              <w:t>武汉外语外事职业学院</w:t>
                            </w:r>
                          </w:p>
                          <w:p w14:paraId="1A04DA5F">
                            <w:pPr>
                              <w:spacing w:line="560" w:lineRule="exact"/>
                              <w:jc w:val="center"/>
                              <w:rPr>
                                <w:rFonts w:hint="eastAsia" w:ascii="黑体" w:hAnsi="黑体" w:eastAsia="黑体" w:cs="黑体"/>
                                <w:b/>
                                <w:bCs/>
                                <w:sz w:val="52"/>
                                <w:szCs w:val="52"/>
                              </w:rPr>
                            </w:pPr>
                            <w:r>
                              <w:rPr>
                                <w:rFonts w:hint="eastAsia" w:ascii="黑体" w:hAnsi="黑体" w:eastAsia="黑体" w:cs="黑体"/>
                                <w:b/>
                                <w:bCs/>
                                <w:color w:val="FF0000"/>
                                <w:sz w:val="52"/>
                                <w:szCs w:val="52"/>
                                <w:lang w:val="en-US" w:eastAsia="zh-CN"/>
                              </w:rPr>
                              <w:t>X</w:t>
                            </w:r>
                            <w:r>
                              <w:rPr>
                                <w:rFonts w:hint="eastAsia" w:ascii="黑体" w:hAnsi="黑体" w:eastAsia="黑体" w:cs="黑体"/>
                                <w:b/>
                                <w:bCs/>
                                <w:color w:val="FF0000"/>
                                <w:sz w:val="52"/>
                                <w:szCs w:val="52"/>
                                <w:lang w:eastAsia="zh-CN"/>
                              </w:rPr>
                              <w:t>X</w:t>
                            </w:r>
                            <w:r>
                              <w:rPr>
                                <w:rFonts w:hint="eastAsia" w:ascii="黑体" w:hAnsi="黑体" w:eastAsia="黑体" w:cs="黑体"/>
                                <w:b/>
                                <w:bCs/>
                                <w:color w:val="FF0000"/>
                                <w:sz w:val="52"/>
                                <w:szCs w:val="52"/>
                                <w:lang w:val="en-US" w:eastAsia="zh-CN"/>
                              </w:rPr>
                              <w:t>XX</w:t>
                            </w:r>
                            <w:r>
                              <w:rPr>
                                <w:rFonts w:hint="eastAsia" w:ascii="黑体" w:hAnsi="黑体" w:eastAsia="黑体" w:cs="黑体"/>
                                <w:b/>
                                <w:bCs/>
                                <w:color w:val="FF0000"/>
                                <w:sz w:val="52"/>
                                <w:szCs w:val="52"/>
                              </w:rPr>
                              <w:t>公司</w:t>
                            </w:r>
                          </w:p>
                          <w:p w14:paraId="496E4BB2">
                            <w:pPr>
                              <w:spacing w:line="560" w:lineRule="exact"/>
                              <w:jc w:val="center"/>
                              <w:rPr>
                                <w:rFonts w:hint="eastAsia" w:ascii="黑体" w:hAnsi="黑体" w:eastAsia="黑体" w:cs="黑体"/>
                                <w:b/>
                                <w:bCs/>
                                <w:sz w:val="52"/>
                                <w:szCs w:val="52"/>
                              </w:rPr>
                            </w:pPr>
                            <w:r>
                              <w:rPr>
                                <w:rFonts w:hint="eastAsia" w:ascii="黑体" w:hAnsi="黑体" w:eastAsia="黑体" w:cs="黑体"/>
                                <w:b/>
                                <w:bCs/>
                                <w:sz w:val="52"/>
                                <w:szCs w:val="52"/>
                              </w:rPr>
                              <w:t>校企合作框架协议</w:t>
                            </w:r>
                          </w:p>
                          <w:p w14:paraId="38A219D4">
                            <w:pPr>
                              <w:jc w:val="center"/>
                              <w:rPr>
                                <w:rFonts w:cs="Times New Roman"/>
                              </w:rPr>
                            </w:pPr>
                          </w:p>
                        </w:txbxContent>
                      </wps:txbx>
                      <wps:bodyPr wrap="square" upright="1"/>
                    </wps:wsp>
                  </a:graphicData>
                </a:graphic>
              </wp:anchor>
            </w:drawing>
          </mc:Choice>
          <mc:Fallback>
            <w:pict>
              <v:rect id="Rectangle 2" o:spid="_x0000_s1026" o:spt="1" style="position:absolute;left:0pt;margin-left:-88.95pt;margin-top:40.6pt;height:174.05pt;width:597.1pt;z-index:251659264;mso-width-relative:page;mso-height-relative:page;" fillcolor="#C5E0B3" filled="t" stroked="f" coordsize="21600,21600" o:gfxdata="UEsDBAoAAAAAAIdO4kAAAAAAAAAAAAAAAAAEAAAAZHJzL1BLAwQUAAAACACHTuJAN9kAqNsAAAAM&#10;AQAADwAAAGRycy9kb3ducmV2LnhtbE2Py07DMBBF90j8gzVI7FrbKeojjdNFASGBhNLCB7jxNImI&#10;x5HtNuXvcVdlObpH954pNhfbszP60DlSIKcCGFLtTEeNgu+v18kSWIiajO4doYJfDLAp7+8KnRs3&#10;0g7P+9iwVEIh1wraGIec81C3aHWYugEpZUfnrY7p9A03Xo+p3PY8E2LOre4oLbR6wG2L9c/+ZBV4&#10;/PzoqtFWlX9/o+et73cvjVTq8UGKNbCIl3iD4aqf1KFMTgd3IhNYr2AiF4tVYhUsZQbsSgg5nwE7&#10;KHjKVjPgZcH/P1H+AVBLAwQUAAAACACHTuJAysHLtLsBAAB8AwAADgAAAGRycy9lMm9Eb2MueG1s&#10;rVNNb9swDL0P2H8QdF/8kWUtjDgF2qy7DFuxbj9AkWVbgL5GKrHz70fZbrp1lx56kUmKfOR7lLc3&#10;ozXspAC1dzUvVjlnyknfaNfV/NfP+w/XnGEUrhHGO1Xzs0J+s3v/bjuESpW+96ZRwAjEYTWEmvcx&#10;hirLUPbKClz5oBxdth6siORClzUgBkK3Jivz/FM2eGgCeKkQKbqfL/mCCK8B9G2rpdp7ebTKxRkV&#10;lBGRKGGvA/LdNG3bKhm/ty2qyEzNiWmcTmpC9iGd2W4rqg5E6LVcRhCvGeEFJyu0o6YXqL2Igh1B&#10;/wdltQSPvo0r6W02E5kUIRZF/kKbx14ENXEhqTFcRMe3g5XfTg/AdFPzkjMnLC38B4kmXGcUK5M8&#10;Q8CKsh7DAywekpm4ji3Y9CUWbJwkPV8kVWNkkoJXm+t1cUVqS7oryyL/uN4k1Oy5PADGL8pbloya&#10;A7WfpBSnrxjn1KeU1A290c29NmZyoDvcGWAnQfu923zOb9cL+j9pxqVk51PZjJgiWaI2k0lWHA/j&#10;wvDgmzPJMtC7qDn+PgpQnB0D6K6nCYupRSqhpUxUlgeUtv63P7V4/ml2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32QCo2wAAAAwBAAAPAAAAAAAAAAEAIAAAACIAAABkcnMvZG93bnJldi54bWxQ&#10;SwECFAAUAAAACACHTuJAysHLtLsBAAB8AwAADgAAAAAAAAABACAAAAAqAQAAZHJzL2Uyb0RvYy54&#10;bWxQSwUGAAAAAAYABgBZAQAAVwUAAAAA&#10;">
                <v:fill on="t" focussize="0,0"/>
                <v:stroke on="f"/>
                <v:imagedata o:title=""/>
                <o:lock v:ext="edit" aspectratio="f"/>
                <v:textbox>
                  <w:txbxContent>
                    <w:p w14:paraId="5A5B1882">
                      <w:pPr>
                        <w:jc w:val="center"/>
                        <w:rPr>
                          <w:rFonts w:hint="eastAsia" w:ascii="黑体" w:hAnsi="黑体" w:eastAsia="黑体" w:cs="黑体"/>
                          <w:b/>
                          <w:bCs/>
                          <w:sz w:val="48"/>
                          <w:szCs w:val="48"/>
                        </w:rPr>
                      </w:pPr>
                    </w:p>
                    <w:p w14:paraId="0B4CE62C">
                      <w:pPr>
                        <w:jc w:val="center"/>
                        <w:rPr>
                          <w:rFonts w:hint="eastAsia" w:ascii="黑体" w:hAnsi="黑体" w:eastAsia="黑体" w:cs="黑体"/>
                          <w:b/>
                          <w:bCs/>
                          <w:color w:val="000000"/>
                          <w:sz w:val="52"/>
                          <w:szCs w:val="52"/>
                        </w:rPr>
                      </w:pPr>
                      <w:r>
                        <w:rPr>
                          <w:rFonts w:hint="eastAsia" w:ascii="黑体" w:hAnsi="黑体" w:eastAsia="黑体" w:cs="黑体"/>
                          <w:b/>
                          <w:bCs/>
                          <w:sz w:val="52"/>
                          <w:szCs w:val="52"/>
                        </w:rPr>
                        <w:t>武汉外语外事职业学院</w:t>
                      </w:r>
                    </w:p>
                    <w:p w14:paraId="1A04DA5F">
                      <w:pPr>
                        <w:spacing w:line="560" w:lineRule="exact"/>
                        <w:jc w:val="center"/>
                        <w:rPr>
                          <w:rFonts w:hint="eastAsia" w:ascii="黑体" w:hAnsi="黑体" w:eastAsia="黑体" w:cs="黑体"/>
                          <w:b/>
                          <w:bCs/>
                          <w:sz w:val="52"/>
                          <w:szCs w:val="52"/>
                        </w:rPr>
                      </w:pPr>
                      <w:r>
                        <w:rPr>
                          <w:rFonts w:hint="eastAsia" w:ascii="黑体" w:hAnsi="黑体" w:eastAsia="黑体" w:cs="黑体"/>
                          <w:b/>
                          <w:bCs/>
                          <w:color w:val="FF0000"/>
                          <w:sz w:val="52"/>
                          <w:szCs w:val="52"/>
                          <w:lang w:val="en-US" w:eastAsia="zh-CN"/>
                        </w:rPr>
                        <w:t>X</w:t>
                      </w:r>
                      <w:r>
                        <w:rPr>
                          <w:rFonts w:hint="eastAsia" w:ascii="黑体" w:hAnsi="黑体" w:eastAsia="黑体" w:cs="黑体"/>
                          <w:b/>
                          <w:bCs/>
                          <w:color w:val="FF0000"/>
                          <w:sz w:val="52"/>
                          <w:szCs w:val="52"/>
                          <w:lang w:eastAsia="zh-CN"/>
                        </w:rPr>
                        <w:t>X</w:t>
                      </w:r>
                      <w:r>
                        <w:rPr>
                          <w:rFonts w:hint="eastAsia" w:ascii="黑体" w:hAnsi="黑体" w:eastAsia="黑体" w:cs="黑体"/>
                          <w:b/>
                          <w:bCs/>
                          <w:color w:val="FF0000"/>
                          <w:sz w:val="52"/>
                          <w:szCs w:val="52"/>
                          <w:lang w:val="en-US" w:eastAsia="zh-CN"/>
                        </w:rPr>
                        <w:t>XX</w:t>
                      </w:r>
                      <w:r>
                        <w:rPr>
                          <w:rFonts w:hint="eastAsia" w:ascii="黑体" w:hAnsi="黑体" w:eastAsia="黑体" w:cs="黑体"/>
                          <w:b/>
                          <w:bCs/>
                          <w:color w:val="FF0000"/>
                          <w:sz w:val="52"/>
                          <w:szCs w:val="52"/>
                        </w:rPr>
                        <w:t>公司</w:t>
                      </w:r>
                    </w:p>
                    <w:p w14:paraId="496E4BB2">
                      <w:pPr>
                        <w:spacing w:line="560" w:lineRule="exact"/>
                        <w:jc w:val="center"/>
                        <w:rPr>
                          <w:rFonts w:hint="eastAsia" w:ascii="黑体" w:hAnsi="黑体" w:eastAsia="黑体" w:cs="黑体"/>
                          <w:b/>
                          <w:bCs/>
                          <w:sz w:val="52"/>
                          <w:szCs w:val="52"/>
                        </w:rPr>
                      </w:pPr>
                      <w:r>
                        <w:rPr>
                          <w:rFonts w:hint="eastAsia" w:ascii="黑体" w:hAnsi="黑体" w:eastAsia="黑体" w:cs="黑体"/>
                          <w:b/>
                          <w:bCs/>
                          <w:sz w:val="52"/>
                          <w:szCs w:val="52"/>
                        </w:rPr>
                        <w:t>校企合作框架协议</w:t>
                      </w:r>
                    </w:p>
                    <w:p w14:paraId="38A219D4">
                      <w:pPr>
                        <w:jc w:val="center"/>
                        <w:rPr>
                          <w:rFonts w:cs="Times New Roman"/>
                        </w:rPr>
                      </w:pPr>
                    </w:p>
                  </w:txbxContent>
                </v:textbox>
              </v:rect>
            </w:pict>
          </mc:Fallback>
        </mc:AlternateContent>
      </w:r>
    </w:p>
    <w:p w14:paraId="449BF981">
      <w:pPr>
        <w:spacing w:line="360" w:lineRule="auto"/>
        <w:jc w:val="center"/>
        <w:rPr>
          <w:rFonts w:hint="eastAsia" w:ascii="微软雅黑" w:hAnsi="微软雅黑" w:eastAsia="微软雅黑" w:cs="Times New Roman"/>
          <w:b/>
          <w:bCs/>
          <w:sz w:val="52"/>
          <w:szCs w:val="52"/>
        </w:rPr>
      </w:pPr>
    </w:p>
    <w:p w14:paraId="2721457C">
      <w:pPr>
        <w:spacing w:line="360" w:lineRule="auto"/>
        <w:jc w:val="center"/>
        <w:rPr>
          <w:rFonts w:hint="eastAsia" w:ascii="微软雅黑" w:hAnsi="微软雅黑" w:eastAsia="微软雅黑" w:cs="Times New Roman"/>
          <w:b/>
          <w:bCs/>
          <w:sz w:val="52"/>
          <w:szCs w:val="52"/>
        </w:rPr>
      </w:pPr>
    </w:p>
    <w:p w14:paraId="2181BB4D">
      <w:pPr>
        <w:spacing w:line="360" w:lineRule="auto"/>
        <w:jc w:val="center"/>
        <w:rPr>
          <w:rFonts w:hint="eastAsia" w:ascii="微软雅黑" w:hAnsi="微软雅黑" w:eastAsia="微软雅黑" w:cs="Times New Roman"/>
          <w:b/>
          <w:bCs/>
          <w:sz w:val="52"/>
          <w:szCs w:val="52"/>
        </w:rPr>
      </w:pPr>
    </w:p>
    <w:p w14:paraId="6EC5886A">
      <w:pPr>
        <w:spacing w:line="360" w:lineRule="auto"/>
        <w:jc w:val="center"/>
        <w:rPr>
          <w:rFonts w:hint="eastAsia" w:ascii="微软雅黑" w:hAnsi="微软雅黑" w:eastAsia="微软雅黑" w:cs="Times New Roman"/>
          <w:b/>
          <w:bCs/>
          <w:sz w:val="52"/>
          <w:szCs w:val="52"/>
        </w:rPr>
      </w:pPr>
    </w:p>
    <w:p w14:paraId="1F1ED236">
      <w:pPr>
        <w:spacing w:line="360" w:lineRule="auto"/>
        <w:jc w:val="center"/>
        <w:rPr>
          <w:rFonts w:hint="eastAsia" w:ascii="微软雅黑" w:hAnsi="微软雅黑" w:eastAsia="微软雅黑" w:cs="Times New Roman"/>
          <w:b/>
          <w:bCs/>
          <w:sz w:val="52"/>
          <w:szCs w:val="52"/>
        </w:rPr>
      </w:pPr>
    </w:p>
    <w:p w14:paraId="7402915A">
      <w:pPr>
        <w:spacing w:line="360" w:lineRule="auto"/>
        <w:jc w:val="center"/>
        <w:rPr>
          <w:rFonts w:hint="eastAsia" w:ascii="微软雅黑" w:hAnsi="微软雅黑" w:eastAsia="微软雅黑" w:cs="Times New Roman"/>
          <w:b/>
          <w:bCs/>
          <w:sz w:val="52"/>
          <w:szCs w:val="52"/>
        </w:rPr>
      </w:pPr>
    </w:p>
    <w:p w14:paraId="7DC83A1F">
      <w:pPr>
        <w:spacing w:line="360" w:lineRule="auto"/>
        <w:rPr>
          <w:rFonts w:hint="eastAsia" w:ascii="微软雅黑" w:hAnsi="微软雅黑" w:eastAsia="微软雅黑" w:cs="Times New Roman"/>
          <w:b/>
          <w:bCs/>
          <w:sz w:val="52"/>
          <w:szCs w:val="52"/>
        </w:rPr>
      </w:pPr>
    </w:p>
    <w:p w14:paraId="21E1A3DB">
      <w:pPr>
        <w:spacing w:line="360" w:lineRule="auto"/>
        <w:jc w:val="center"/>
        <w:rPr>
          <w:rFonts w:hint="eastAsia" w:ascii="微软雅黑" w:hAnsi="微软雅黑" w:eastAsia="微软雅黑" w:cs="Times New Roman"/>
          <w:b/>
          <w:bCs/>
          <w:sz w:val="52"/>
          <w:szCs w:val="52"/>
        </w:rPr>
      </w:pPr>
    </w:p>
    <w:p w14:paraId="32C48541">
      <w:pPr>
        <w:widowControl/>
        <w:spacing w:line="360" w:lineRule="auto"/>
        <w:jc w:val="left"/>
      </w:pPr>
    </w:p>
    <w:p w14:paraId="48F3F78D">
      <w:pPr>
        <w:spacing w:line="360" w:lineRule="auto"/>
        <w:jc w:val="center"/>
        <w:rPr>
          <w:rFonts w:hint="eastAsia" w:ascii="黑体" w:hAnsi="黑体" w:eastAsia="黑体" w:cs="黑体"/>
          <w:b/>
          <w:bCs/>
          <w:sz w:val="52"/>
          <w:szCs w:val="52"/>
        </w:rPr>
      </w:pPr>
    </w:p>
    <w:p w14:paraId="2F8C145C">
      <w:pPr>
        <w:spacing w:line="360" w:lineRule="auto"/>
        <w:jc w:val="center"/>
        <w:rPr>
          <w:rFonts w:hint="eastAsia" w:ascii="黑体" w:hAnsi="黑体" w:eastAsia="黑体" w:cs="黑体"/>
          <w:b/>
          <w:bCs/>
          <w:kern w:val="0"/>
          <w:sz w:val="32"/>
          <w:szCs w:val="32"/>
        </w:rPr>
      </w:pPr>
      <w:r>
        <w:rPr>
          <w:rFonts w:hint="eastAsia" w:ascii="黑体" w:hAnsi="黑体" w:eastAsia="黑体" w:cs="黑体"/>
          <w:b/>
          <w:bCs/>
          <w:kern w:val="0"/>
          <w:sz w:val="32"/>
          <w:szCs w:val="32"/>
          <w:lang w:val="en-US" w:eastAsia="zh-CN"/>
          <w14:shadow w14:blurRad="50800" w14:dist="38100" w14:dir="2700000" w14:sx="100000" w14:sy="100000" w14:kx="0" w14:ky="0" w14:algn="tl">
            <w14:srgbClr w14:val="000000">
              <w14:alpha w14:val="60000"/>
            </w14:srgbClr>
          </w14:shadow>
        </w:rPr>
        <w:t>20XX</w:t>
      </w:r>
      <w:r>
        <w:rPr>
          <w:rFonts w:hint="eastAsia" w:ascii="黑体" w:hAnsi="黑体" w:eastAsia="黑体" w:cs="黑体"/>
          <w:b/>
          <w:bCs/>
          <w:kern w:val="0"/>
          <w:sz w:val="32"/>
          <w:szCs w:val="32"/>
          <w14:shadow w14:blurRad="50800" w14:dist="38100" w14:dir="2700000" w14:sx="100000" w14:sy="100000" w14:kx="0" w14:ky="0" w14:algn="tl">
            <w14:srgbClr w14:val="000000">
              <w14:alpha w14:val="60000"/>
            </w14:srgbClr>
          </w14:shadow>
        </w:rPr>
        <w:t>年</w:t>
      </w:r>
      <w:r>
        <w:rPr>
          <w:rFonts w:hint="eastAsia" w:ascii="黑体" w:hAnsi="黑体" w:eastAsia="黑体" w:cs="黑体"/>
          <w:b/>
          <w:bCs/>
          <w:kern w:val="0"/>
          <w:sz w:val="32"/>
          <w:szCs w:val="32"/>
          <w:lang w:val="en-US" w:eastAsia="zh-CN"/>
          <w14:shadow w14:blurRad="50800" w14:dist="38100" w14:dir="2700000" w14:sx="100000" w14:sy="100000" w14:kx="0" w14:ky="0" w14:algn="tl">
            <w14:srgbClr w14:val="000000">
              <w14:alpha w14:val="60000"/>
            </w14:srgbClr>
          </w14:shadow>
        </w:rPr>
        <w:t>XX</w:t>
      </w:r>
      <w:r>
        <w:rPr>
          <w:rFonts w:hint="eastAsia" w:ascii="黑体" w:hAnsi="黑体" w:eastAsia="黑体" w:cs="黑体"/>
          <w:b/>
          <w:bCs/>
          <w:kern w:val="0"/>
          <w:sz w:val="32"/>
          <w:szCs w:val="32"/>
          <w14:shadow w14:blurRad="50800" w14:dist="38100" w14:dir="2700000" w14:sx="100000" w14:sy="100000" w14:kx="0" w14:ky="0" w14:algn="tl">
            <w14:srgbClr w14:val="000000">
              <w14:alpha w14:val="60000"/>
            </w14:srgbClr>
          </w14:shadow>
        </w:rPr>
        <w:t>月</w:t>
      </w:r>
    </w:p>
    <w:p w14:paraId="503CD2BB">
      <w:pPr>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p>
    <w:p w14:paraId="19360656">
      <w:pPr>
        <w:jc w:val="center"/>
        <w:rPr>
          <w:rFonts w:hint="eastAsia"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武汉外语外事职业学院</w:t>
      </w:r>
    </w:p>
    <w:p w14:paraId="27547CBC">
      <w:pPr>
        <w:spacing w:line="560" w:lineRule="exact"/>
        <w:jc w:val="center"/>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lang w:val="en-US" w:eastAsia="zh-CN"/>
          <w14:textFill>
            <w14:solidFill>
              <w14:schemeClr w14:val="tx1"/>
            </w14:solidFill>
          </w14:textFill>
        </w:rPr>
        <w:t>XXXX</w:t>
      </w:r>
      <w:r>
        <w:rPr>
          <w:rFonts w:hint="eastAsia" w:ascii="黑体" w:hAnsi="黑体" w:eastAsia="黑体" w:cs="黑体"/>
          <w:b/>
          <w:bCs/>
          <w:color w:val="000000" w:themeColor="text1"/>
          <w:sz w:val="28"/>
          <w:szCs w:val="28"/>
          <w14:textFill>
            <w14:solidFill>
              <w14:schemeClr w14:val="tx1"/>
            </w14:solidFill>
          </w14:textFill>
        </w:rPr>
        <w:t>公司</w:t>
      </w:r>
    </w:p>
    <w:p w14:paraId="15F2F503">
      <w:pPr>
        <w:spacing w:line="560" w:lineRule="exact"/>
        <w:jc w:val="center"/>
        <w:rPr>
          <w:rFonts w:hint="eastAsia"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校企合作框架协议</w:t>
      </w:r>
    </w:p>
    <w:p w14:paraId="4D2BB2B1">
      <w:pPr>
        <w:spacing w:line="560" w:lineRule="exact"/>
        <w:jc w:val="center"/>
        <w:rPr>
          <w:rFonts w:hint="eastAsia" w:ascii="黑体" w:hAnsi="黑体" w:eastAsia="黑体" w:cs="黑体"/>
          <w:b/>
          <w:bCs/>
          <w:color w:val="000000" w:themeColor="text1"/>
          <w:sz w:val="36"/>
          <w:szCs w:val="36"/>
          <w14:textFill>
            <w14:solidFill>
              <w14:schemeClr w14:val="tx1"/>
            </w14:solidFill>
          </w14:textFill>
        </w:rPr>
      </w:pPr>
    </w:p>
    <w:p w14:paraId="68A415FF">
      <w:pPr>
        <w:rPr>
          <w:rFonts w:hint="default" w:ascii="仿宋" w:hAnsi="仿宋" w:eastAsia="仿宋" w:cs="仿宋"/>
          <w:color w:val="000000" w:themeColor="text1"/>
          <w:sz w:val="28"/>
          <w:szCs w:val="28"/>
          <w:u w:val="none"/>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甲方：</w:t>
      </w:r>
      <w:r>
        <w:rPr>
          <w:rFonts w:hint="eastAsia" w:ascii="仿宋" w:hAnsi="仿宋" w:eastAsia="仿宋" w:cs="仿宋"/>
          <w:bCs/>
          <w:color w:val="000000" w:themeColor="text1"/>
          <w:sz w:val="28"/>
          <w:szCs w:val="28"/>
          <w:u w:val="none"/>
          <w14:textFill>
            <w14:solidFill>
              <w14:schemeClr w14:val="tx1"/>
            </w14:solidFill>
          </w14:textFill>
        </w:rPr>
        <w:t>武汉外语外事职业学院</w:t>
      </w:r>
      <w:r>
        <w:rPr>
          <w:rFonts w:hint="eastAsia" w:ascii="仿宋" w:hAnsi="仿宋" w:eastAsia="仿宋" w:cs="仿宋"/>
          <w:b/>
          <w:color w:val="000000" w:themeColor="text1"/>
          <w:sz w:val="28"/>
          <w:szCs w:val="28"/>
          <w:u w:val="none"/>
          <w14:textFill>
            <w14:solidFill>
              <w14:schemeClr w14:val="tx1"/>
            </w14:solidFill>
          </w14:textFill>
        </w:rPr>
        <w:t xml:space="preserve">  </w:t>
      </w:r>
      <w:r>
        <w:rPr>
          <w:rFonts w:hint="eastAsia" w:ascii="仿宋" w:hAnsi="仿宋" w:eastAsia="仿宋" w:cs="仿宋"/>
          <w:b/>
          <w:color w:val="000000" w:themeColor="text1"/>
          <w:sz w:val="28"/>
          <w:szCs w:val="28"/>
          <w:u w:val="none"/>
          <w:lang w:val="en-US" w:eastAsia="zh-CN"/>
          <w14:textFill>
            <w14:solidFill>
              <w14:schemeClr w14:val="tx1"/>
            </w14:solidFill>
          </w14:textFill>
        </w:rPr>
        <w:t xml:space="preserve">        </w:t>
      </w:r>
      <w:r>
        <w:rPr>
          <w:rFonts w:hint="eastAsia" w:ascii="仿宋" w:hAnsi="仿宋" w:eastAsia="仿宋" w:cs="仿宋"/>
          <w:b/>
          <w:color w:val="000000" w:themeColor="text1"/>
          <w:sz w:val="28"/>
          <w:szCs w:val="28"/>
          <w:u w:val="none"/>
          <w14:textFill>
            <w14:solidFill>
              <w14:schemeClr w14:val="tx1"/>
            </w14:solidFill>
          </w14:textFill>
        </w:rPr>
        <w:t xml:space="preserve">  </w:t>
      </w:r>
      <w:r>
        <w:rPr>
          <w:rFonts w:hint="eastAsia" w:ascii="仿宋" w:hAnsi="仿宋" w:eastAsia="仿宋" w:cs="仿宋"/>
          <w:b/>
          <w:color w:val="000000" w:themeColor="text1"/>
          <w:sz w:val="28"/>
          <w:szCs w:val="28"/>
          <w:u w:val="none"/>
          <w:lang w:val="en-US" w:eastAsia="zh-CN"/>
          <w14:textFill>
            <w14:solidFill>
              <w14:schemeClr w14:val="tx1"/>
            </w14:solidFill>
          </w14:textFill>
        </w:rPr>
        <w:t xml:space="preserve">        </w:t>
      </w:r>
    </w:p>
    <w:p w14:paraId="001D81E4">
      <w:pPr>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lang w:val="en-US" w:eastAsia="zh-CN"/>
        </w:rPr>
        <w:t>地址：湖</w:t>
      </w:r>
      <w:r>
        <w:rPr>
          <w:rFonts w:hint="eastAsia" w:ascii="仿宋" w:hAnsi="仿宋" w:eastAsia="仿宋" w:cs="仿宋"/>
          <w:bCs/>
          <w:color w:val="000000" w:themeColor="text1"/>
          <w:sz w:val="28"/>
          <w:szCs w:val="28"/>
          <w:u w:val="none"/>
          <w:lang w:val="en-US" w:eastAsia="zh-CN"/>
          <w14:textFill>
            <w14:solidFill>
              <w14:schemeClr w14:val="tx1"/>
            </w14:solidFill>
          </w14:textFill>
        </w:rPr>
        <w:t>北省</w:t>
      </w:r>
      <w:r>
        <w:rPr>
          <w:rFonts w:hint="eastAsia" w:ascii="仿宋" w:hAnsi="仿宋" w:eastAsia="仿宋" w:cs="仿宋"/>
          <w:bCs/>
          <w:color w:val="000000" w:themeColor="text1"/>
          <w:sz w:val="28"/>
          <w:szCs w:val="28"/>
          <w:u w:val="none"/>
          <w14:textFill>
            <w14:solidFill>
              <w14:schemeClr w14:val="tx1"/>
            </w14:solidFill>
          </w14:textFill>
        </w:rPr>
        <w:t>武汉市江夏区藏龙岛开发区环岛路3号</w:t>
      </w:r>
      <w:r>
        <w:rPr>
          <w:rFonts w:hint="eastAsia" w:ascii="仿宋" w:hAnsi="仿宋" w:eastAsia="仿宋" w:cs="仿宋"/>
          <w:color w:val="auto"/>
          <w:sz w:val="28"/>
          <w:szCs w:val="28"/>
          <w:u w:val="none"/>
          <w:lang w:val="en-US" w:eastAsia="zh-CN"/>
        </w:rPr>
        <w:t xml:space="preserve">                                             </w:t>
      </w:r>
    </w:p>
    <w:p w14:paraId="60D7095A">
      <w:pPr>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 xml:space="preserve">                    </w:t>
      </w:r>
    </w:p>
    <w:p w14:paraId="744E3CDA">
      <w:pPr>
        <w:rPr>
          <w:rFonts w:hint="eastAsia" w:ascii="仿宋" w:hAnsi="仿宋" w:eastAsia="仿宋" w:cs="仿宋"/>
          <w:color w:val="auto"/>
          <w:sz w:val="28"/>
          <w:szCs w:val="28"/>
          <w:u w:val="none"/>
        </w:rPr>
      </w:pPr>
      <w:r>
        <w:rPr>
          <w:rFonts w:hint="eastAsia" w:ascii="仿宋" w:hAnsi="仿宋" w:eastAsia="仿宋" w:cs="仿宋"/>
          <w:color w:val="000000" w:themeColor="text1"/>
          <w:sz w:val="28"/>
          <w:szCs w:val="28"/>
          <w:u w:val="none"/>
          <w14:textFill>
            <w14:solidFill>
              <w14:schemeClr w14:val="tx1"/>
            </w14:solidFill>
          </w14:textFill>
        </w:rPr>
        <w:t xml:space="preserve">乙方：   </w:t>
      </w:r>
      <w:bookmarkStart w:id="0" w:name="_Hlk193120187"/>
      <w:r>
        <w:rPr>
          <w:rFonts w:hint="eastAsia" w:ascii="仿宋" w:hAnsi="仿宋" w:eastAsia="仿宋" w:cs="仿宋"/>
          <w:bCs/>
          <w:color w:val="auto"/>
          <w:sz w:val="28"/>
          <w:szCs w:val="28"/>
          <w:u w:val="none"/>
        </w:rPr>
        <w:t xml:space="preserve"> </w:t>
      </w:r>
      <w:r>
        <w:rPr>
          <w:rFonts w:hint="eastAsia" w:ascii="仿宋" w:hAnsi="仿宋" w:eastAsia="仿宋" w:cs="仿宋"/>
          <w:bCs/>
          <w:color w:val="auto"/>
          <w:sz w:val="28"/>
          <w:szCs w:val="28"/>
          <w:u w:val="none"/>
          <w:lang w:eastAsia="zh-CN"/>
        </w:rPr>
        <w:t xml:space="preserve"> </w:t>
      </w:r>
      <w:r>
        <w:rPr>
          <w:rFonts w:hint="eastAsia" w:ascii="仿宋" w:hAnsi="仿宋" w:eastAsia="仿宋" w:cs="仿宋"/>
          <w:bCs/>
          <w:color w:val="auto"/>
          <w:sz w:val="28"/>
          <w:szCs w:val="28"/>
          <w:u w:val="none"/>
          <w:lang w:val="en-US" w:eastAsia="zh-CN"/>
        </w:rPr>
        <w:t xml:space="preserve">                                   </w:t>
      </w:r>
      <w:bookmarkEnd w:id="0"/>
    </w:p>
    <w:p w14:paraId="50EF7DEF">
      <w:pPr>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 xml:space="preserve">注册地址：                                         </w:t>
      </w:r>
    </w:p>
    <w:p w14:paraId="1DF3C634">
      <w:pPr>
        <w:snapToGrid w:val="0"/>
        <w:ind w:firstLine="562" w:firstLineChars="200"/>
        <w:rPr>
          <w:rFonts w:hint="eastAsia" w:ascii="仿宋" w:hAnsi="仿宋" w:eastAsia="仿宋" w:cs="仿宋"/>
          <w:b/>
          <w:color w:val="auto"/>
          <w:sz w:val="28"/>
          <w:szCs w:val="28"/>
        </w:rPr>
      </w:pPr>
    </w:p>
    <w:p w14:paraId="3662557D">
      <w:pPr>
        <w:ind w:firstLine="560" w:firstLineChars="200"/>
        <w:rPr>
          <w:rFonts w:hint="eastAsia" w:ascii="仿宋" w:hAnsi="仿宋" w:eastAsia="仿宋" w:cs="仿宋"/>
          <w:color w:val="000000" w:themeColor="text1"/>
          <w:sz w:val="28"/>
          <w:szCs w:val="28"/>
          <w14:textFill>
            <w14:solidFill>
              <w14:schemeClr w14:val="tx1"/>
            </w14:solidFill>
          </w14:textFill>
        </w:rPr>
      </w:pPr>
      <w:bookmarkStart w:id="1" w:name="_Toc376255527"/>
      <w:bookmarkStart w:id="2" w:name="_Toc281477645"/>
      <w:r>
        <w:rPr>
          <w:rFonts w:hint="eastAsia" w:ascii="仿宋" w:hAnsi="仿宋" w:eastAsia="仿宋" w:cs="仿宋"/>
          <w:color w:val="000000" w:themeColor="text1"/>
          <w:sz w:val="28"/>
          <w:szCs w:val="28"/>
          <w14:textFill>
            <w14:solidFill>
              <w14:schemeClr w14:val="tx1"/>
            </w14:solidFill>
          </w14:textFill>
        </w:rPr>
        <w:t>甲乙双方本着平等自愿、优势互补、依法合规的原则，就开展校企合作事宜达成如下框架合作意向。本意向书旨在确立双方合作的总体框架与基本原则，具体合作项目及实质性权利义务，由双方另行协商并签订专项实施协议予以约定。</w:t>
      </w:r>
    </w:p>
    <w:p w14:paraId="37B795DD">
      <w:pPr>
        <w:numPr>
          <w:ilvl w:val="0"/>
          <w:numId w:val="2"/>
        </w:numPr>
        <w:snapToGrid w:val="0"/>
        <w:spacing w:before="156" w:beforeLines="50" w:after="156" w:afterLines="50"/>
        <w:rPr>
          <w:rFonts w:hint="default" w:ascii="宋体" w:hAnsi="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lang w:val="en-US" w:eastAsia="zh-CN"/>
          <w14:textFill>
            <w14:solidFill>
              <w14:schemeClr w14:val="tx1"/>
            </w14:solidFill>
          </w14:textFill>
        </w:rPr>
        <w:t>合作背景</w:t>
      </w:r>
    </w:p>
    <w:p w14:paraId="5784983E">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甲方武汉外语外事职业学院于2002年经湖北省人民政府批准成立，并经国家教育部备案，是我国中部地区第一所专门培养具有外语特长的高级技术型、技能型专门人才的普通高等职业学院。</w:t>
      </w:r>
    </w:p>
    <w:p w14:paraId="6C27C8CA">
      <w:pPr>
        <w:ind w:firstLine="560" w:firstLineChars="200"/>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FF0000"/>
          <w:sz w:val="28"/>
          <w:szCs w:val="28"/>
          <w:lang w:val="en-US" w:eastAsia="zh-CN"/>
        </w:rPr>
        <w:t xml:space="preserve"> 乙方</w:t>
      </w:r>
      <w:r>
        <w:rPr>
          <w:rFonts w:hint="eastAsia" w:ascii="仿宋" w:hAnsi="仿宋" w:eastAsia="仿宋" w:cs="仿宋"/>
          <w:color w:val="000000" w:themeColor="text1"/>
          <w:sz w:val="28"/>
          <w:szCs w:val="28"/>
          <w14:textFill>
            <w14:solidFill>
              <w14:schemeClr w14:val="tx1"/>
            </w14:solidFill>
          </w14:textFill>
        </w:rPr>
        <w:t>公司</w:t>
      </w:r>
      <w:r>
        <w:rPr>
          <w:rFonts w:hint="eastAsia" w:ascii="仿宋" w:hAnsi="仿宋" w:eastAsia="仿宋" w:cs="仿宋"/>
          <w:color w:val="000000" w:themeColor="text1"/>
          <w:sz w:val="28"/>
          <w:szCs w:val="28"/>
          <w:lang w:val="en-US" w:eastAsia="zh-CN"/>
          <w14:textFill>
            <w14:solidFill>
              <w14:schemeClr w14:val="tx1"/>
            </w14:solidFill>
          </w14:textFill>
        </w:rPr>
        <w:t>简介：</w:t>
      </w:r>
      <w:r>
        <w:rPr>
          <w:rFonts w:hint="eastAsia" w:ascii="仿宋" w:hAnsi="仿宋" w:eastAsia="仿宋" w:cs="仿宋"/>
          <w:color w:val="FF0000"/>
          <w:sz w:val="28"/>
          <w:szCs w:val="28"/>
          <w:lang w:val="en-US" w:eastAsia="zh-CN"/>
        </w:rPr>
        <w:t>简短介绍即可（资质和详细情况可提交纸质版）</w:t>
      </w:r>
    </w:p>
    <w:p w14:paraId="3B8F9A0F">
      <w:pPr>
        <w:rPr>
          <w:rFonts w:hint="eastAsia" w:ascii="仿宋" w:hAnsi="仿宋" w:eastAsia="仿宋" w:cs="仿宋"/>
          <w:color w:val="000000" w:themeColor="text1"/>
          <w:sz w:val="28"/>
          <w:szCs w:val="28"/>
          <w14:textFill>
            <w14:solidFill>
              <w14:schemeClr w14:val="tx1"/>
            </w14:solidFill>
          </w14:textFill>
        </w:rPr>
      </w:pPr>
      <w:r>
        <w:rPr>
          <w:rFonts w:hint="eastAsia" w:ascii="宋体" w:hAnsi="宋体" w:cs="宋体"/>
          <w:b/>
          <w:color w:val="000000" w:themeColor="text1"/>
          <w:sz w:val="30"/>
          <w:szCs w:val="30"/>
          <w:lang w:val="en-US" w:eastAsia="zh-CN"/>
          <w14:textFill>
            <w14:solidFill>
              <w14:schemeClr w14:val="tx1"/>
            </w14:solidFill>
          </w14:textFill>
        </w:rPr>
        <w:t>第二条 合作宗旨</w:t>
      </w:r>
    </w:p>
    <w:p w14:paraId="31D8C685">
      <w:pPr>
        <w:numPr>
          <w:ilvl w:val="0"/>
          <w:numId w:val="0"/>
        </w:num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甲乙双方立足职业教育特点，坚持立德树人，贯彻国家教育方针，遵守中华人民共和国法律、法规以及相关教育主管部门的管理规定；坚持育人为本，致力培养高素质技术技能人才；坚持教育公益性，维护师生及合作各方的合法权益；坚持平等自愿、优势互补，开展务实、可持续的产教融合与协同育人合作。</w:t>
      </w:r>
    </w:p>
    <w:p w14:paraId="4C741DA5">
      <w:pPr>
        <w:numPr>
          <w:ilvl w:val="0"/>
          <w:numId w:val="0"/>
        </w:numPr>
        <w:snapToGrid w:val="0"/>
        <w:spacing w:before="156" w:beforeLines="50" w:after="156" w:afterLines="50"/>
        <w:rPr>
          <w:rFonts w:hint="eastAsia"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lang w:val="en-US" w:eastAsia="zh-CN"/>
          <w14:textFill>
            <w14:solidFill>
              <w14:schemeClr w14:val="tx1"/>
            </w14:solidFill>
          </w14:textFill>
        </w:rPr>
        <w:t xml:space="preserve">第三条 </w:t>
      </w:r>
      <w:r>
        <w:rPr>
          <w:rFonts w:hint="eastAsia" w:ascii="宋体" w:hAnsi="宋体" w:cs="宋体"/>
          <w:b/>
          <w:color w:val="000000" w:themeColor="text1"/>
          <w:sz w:val="30"/>
          <w:szCs w:val="30"/>
          <w14:textFill>
            <w14:solidFill>
              <w14:schemeClr w14:val="tx1"/>
            </w14:solidFill>
          </w14:textFill>
        </w:rPr>
        <w:t>合作模式与内容</w:t>
      </w:r>
      <w:bookmarkEnd w:id="1"/>
      <w:bookmarkEnd w:id="2"/>
      <w:bookmarkStart w:id="3" w:name="_Toc280628463"/>
      <w:bookmarkStart w:id="4" w:name="_Toc255548806"/>
      <w:bookmarkStart w:id="5" w:name="_Toc376255530"/>
      <w:bookmarkStart w:id="6" w:name="_Toc281477647"/>
      <w:bookmarkStart w:id="7" w:name="_Toc61666962"/>
    </w:p>
    <w:p w14:paraId="6F876479">
      <w:pPr>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 xml:space="preserve">1.实习就业：乙方面向甲方学生提供 </w:t>
      </w:r>
      <w:r>
        <w:rPr>
          <w:rFonts w:hint="eastAsia" w:ascii="仿宋" w:hAnsi="仿宋" w:eastAsia="仿宋" w:cs="仿宋"/>
          <w:color w:val="FF0000"/>
          <w:sz w:val="28"/>
          <w:szCs w:val="28"/>
          <w:lang w:val="en-US" w:eastAsia="zh-CN"/>
        </w:rPr>
        <w:t xml:space="preserve">XX、XX、XX </w:t>
      </w:r>
      <w:r>
        <w:rPr>
          <w:rFonts w:hint="eastAsia" w:ascii="仿宋" w:hAnsi="仿宋" w:eastAsia="仿宋" w:cs="仿宋"/>
          <w:color w:val="000000" w:themeColor="text1"/>
          <w:sz w:val="28"/>
          <w:szCs w:val="28"/>
          <w:lang w:val="en-US" w:eastAsia="zh-CN"/>
          <w14:textFill>
            <w14:solidFill>
              <w14:schemeClr w14:val="tx1"/>
            </w14:solidFill>
          </w14:textFill>
        </w:rPr>
        <w:t>实习岗位，接收专业为</w:t>
      </w:r>
      <w:r>
        <w:rPr>
          <w:rFonts w:hint="eastAsia" w:ascii="仿宋" w:hAnsi="仿宋" w:eastAsia="仿宋" w:cs="仿宋"/>
          <w:color w:val="FF0000"/>
          <w:sz w:val="28"/>
          <w:szCs w:val="28"/>
          <w:lang w:val="en-US" w:eastAsia="zh-CN"/>
        </w:rPr>
        <w:t xml:space="preserve">XX、XX、XX </w:t>
      </w:r>
      <w:r>
        <w:rPr>
          <w:rFonts w:hint="eastAsia" w:ascii="仿宋" w:hAnsi="仿宋" w:eastAsia="仿宋" w:cs="仿宋"/>
          <w:color w:val="000000" w:themeColor="text1"/>
          <w:sz w:val="28"/>
          <w:szCs w:val="28"/>
          <w:lang w:val="en-US" w:eastAsia="zh-CN"/>
          <w14:textFill>
            <w14:solidFill>
              <w14:schemeClr w14:val="tx1"/>
            </w14:solidFill>
          </w14:textFill>
        </w:rPr>
        <w:t>；学生岗位实习期间月报酬不低于 3000 元，薪酬标准调整</w:t>
      </w:r>
      <w:bookmarkStart w:id="10" w:name="_GoBack"/>
      <w:bookmarkEnd w:id="10"/>
      <w:r>
        <w:rPr>
          <w:rFonts w:hint="eastAsia" w:ascii="仿宋" w:hAnsi="仿宋" w:eastAsia="仿宋" w:cs="仿宋"/>
          <w:color w:val="000000" w:themeColor="text1"/>
          <w:sz w:val="28"/>
          <w:szCs w:val="28"/>
          <w:lang w:val="en-US" w:eastAsia="zh-CN"/>
          <w14:textFill>
            <w14:solidFill>
              <w14:schemeClr w14:val="tx1"/>
            </w14:solidFill>
          </w14:textFill>
        </w:rPr>
        <w:t>须经学院协商报批。</w:t>
      </w:r>
    </w:p>
    <w:p w14:paraId="412D87C1">
      <w:pPr>
        <w:numPr>
          <w:ilvl w:val="0"/>
          <w:numId w:val="0"/>
        </w:numPr>
        <w:ind w:firstLine="560" w:firstLineChars="200"/>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2.合作共建：</w:t>
      </w:r>
      <w:r>
        <w:rPr>
          <w:rFonts w:hint="default" w:ascii="仿宋" w:hAnsi="仿宋" w:eastAsia="仿宋" w:cs="仿宋"/>
          <w:color w:val="000000" w:themeColor="text1"/>
          <w:sz w:val="28"/>
          <w:szCs w:val="28"/>
          <w:lang w:val="en-US" w:eastAsia="zh-CN"/>
          <w14:textFill>
            <w14:solidFill>
              <w14:schemeClr w14:val="tx1"/>
            </w14:solidFill>
          </w14:textFill>
        </w:rPr>
        <w:t>共享乙方基地建筑面积</w:t>
      </w:r>
      <w:r>
        <w:rPr>
          <w:rFonts w:hint="default" w:ascii="仿宋" w:hAnsi="仿宋" w:eastAsia="仿宋" w:cs="仿宋"/>
          <w:color w:val="FF0000"/>
          <w:sz w:val="28"/>
          <w:szCs w:val="28"/>
          <w:lang w:val="en-US" w:eastAsia="zh-CN"/>
        </w:rPr>
        <w:t>X</w:t>
      </w:r>
      <w:r>
        <w:rPr>
          <w:rFonts w:hint="default" w:ascii="仿宋" w:hAnsi="仿宋" w:eastAsia="仿宋" w:cs="仿宋"/>
          <w:color w:val="000000" w:themeColor="text1"/>
          <w:sz w:val="28"/>
          <w:szCs w:val="28"/>
          <w:lang w:val="en-US" w:eastAsia="zh-CN"/>
          <w14:textFill>
            <w14:solidFill>
              <w14:schemeClr w14:val="tx1"/>
            </w14:solidFill>
          </w14:textFill>
        </w:rPr>
        <w:t>平方，共享基地面积</w:t>
      </w:r>
      <w:r>
        <w:rPr>
          <w:rFonts w:hint="default" w:ascii="仿宋" w:hAnsi="仿宋" w:eastAsia="仿宋" w:cs="仿宋"/>
          <w:color w:val="FF0000"/>
          <w:sz w:val="28"/>
          <w:szCs w:val="28"/>
          <w:lang w:val="en-US" w:eastAsia="zh-CN"/>
        </w:rPr>
        <w:t>X</w:t>
      </w:r>
      <w:r>
        <w:rPr>
          <w:rFonts w:hint="default" w:ascii="仿宋" w:hAnsi="仿宋" w:eastAsia="仿宋" w:cs="仿宋"/>
          <w:color w:val="000000" w:themeColor="text1"/>
          <w:sz w:val="28"/>
          <w:szCs w:val="28"/>
          <w:lang w:val="en-US" w:eastAsia="zh-CN"/>
          <w14:textFill>
            <w14:solidFill>
              <w14:schemeClr w14:val="tx1"/>
            </w14:solidFill>
          </w14:textFill>
        </w:rPr>
        <w:t>平方，共享设备值</w:t>
      </w:r>
      <w:r>
        <w:rPr>
          <w:rFonts w:hint="default" w:ascii="仿宋" w:hAnsi="仿宋" w:eastAsia="仿宋" w:cs="仿宋"/>
          <w:color w:val="FF0000"/>
          <w:sz w:val="28"/>
          <w:szCs w:val="28"/>
          <w:lang w:val="en-US" w:eastAsia="zh-CN"/>
        </w:rPr>
        <w:t>X</w:t>
      </w:r>
      <w:r>
        <w:rPr>
          <w:rFonts w:hint="default" w:ascii="仿宋" w:hAnsi="仿宋" w:eastAsia="仿宋" w:cs="仿宋"/>
          <w:color w:val="000000" w:themeColor="text1"/>
          <w:sz w:val="28"/>
          <w:szCs w:val="28"/>
          <w:lang w:val="en-US" w:eastAsia="zh-CN"/>
          <w14:textFill>
            <w14:solidFill>
              <w14:schemeClr w14:val="tx1"/>
            </w14:solidFill>
          </w14:textFill>
        </w:rPr>
        <w:t>万元</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乙方向甲方捐赠设设备值</w:t>
      </w:r>
      <w:r>
        <w:rPr>
          <w:rFonts w:hint="default" w:ascii="仿宋" w:hAnsi="仿宋" w:eastAsia="仿宋" w:cs="仿宋"/>
          <w:color w:val="FF0000"/>
          <w:sz w:val="28"/>
          <w:szCs w:val="28"/>
          <w:highlight w:val="none"/>
          <w:lang w:val="en-US" w:eastAsia="zh-CN"/>
        </w:rPr>
        <w:t>X</w:t>
      </w:r>
      <w:r>
        <w:rPr>
          <w:rFonts w:hint="default" w:ascii="仿宋" w:hAnsi="仿宋" w:eastAsia="仿宋" w:cs="仿宋"/>
          <w:color w:val="000000" w:themeColor="text1"/>
          <w:sz w:val="28"/>
          <w:szCs w:val="28"/>
          <w:highlight w:val="none"/>
          <w:lang w:val="en-US" w:eastAsia="zh-CN"/>
          <w14:textFill>
            <w14:solidFill>
              <w14:schemeClr w14:val="tx1"/>
            </w14:solidFill>
          </w14:textFill>
        </w:rPr>
        <w:t>万元。</w:t>
      </w:r>
    </w:p>
    <w:p w14:paraId="2B0A2DF7">
      <w:pPr>
        <w:numPr>
          <w:ilvl w:val="0"/>
          <w:numId w:val="0"/>
        </w:numPr>
        <w:ind w:firstLine="560" w:firstLineChars="200"/>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3.师资交流：双方互派教师、管理人员开展短期访问、教学研讨、职教培训。</w:t>
      </w:r>
    </w:p>
    <w:p w14:paraId="31BE63AD">
      <w:pPr>
        <w:ind w:firstLine="560" w:firstLineChars="200"/>
        <w:rPr>
          <w:rFonts w:hint="eastAsia" w:ascii="宋体" w:hAnsi="宋体" w:cs="宋体"/>
          <w:b/>
          <w:color w:val="000000" w:themeColor="text1"/>
          <w:sz w:val="30"/>
          <w:szCs w:val="30"/>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4.</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FF0000"/>
          <w:sz w:val="28"/>
          <w:szCs w:val="28"/>
          <w:highlight w:val="none"/>
          <w:u w:val="single"/>
          <w:lang w:val="en-US" w:eastAsia="zh-CN"/>
        </w:rPr>
        <w:t>其他：</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依据实际合作情况添加                                                  </w:t>
      </w:r>
      <w:bookmarkEnd w:id="3"/>
      <w:bookmarkEnd w:id="4"/>
      <w:bookmarkEnd w:id="5"/>
      <w:bookmarkEnd w:id="6"/>
      <w:bookmarkStart w:id="8" w:name="_Toc376255531"/>
    </w:p>
    <w:p w14:paraId="69D74042">
      <w:pPr>
        <w:numPr>
          <w:ilvl w:val="0"/>
          <w:numId w:val="0"/>
        </w:numPr>
        <w:snapToGrid w:val="0"/>
        <w:spacing w:before="156" w:beforeLines="50" w:after="156" w:afterLines="50"/>
        <w:rPr>
          <w:rFonts w:hint="eastAsia"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lang w:val="en-US" w:eastAsia="zh-CN"/>
          <w14:textFill>
            <w14:solidFill>
              <w14:schemeClr w14:val="tx1"/>
            </w14:solidFill>
          </w14:textFill>
        </w:rPr>
        <w:t xml:space="preserve">第四条 </w:t>
      </w:r>
      <w:r>
        <w:rPr>
          <w:rFonts w:hint="eastAsia" w:ascii="宋体" w:hAnsi="宋体" w:cs="宋体"/>
          <w:b/>
          <w:color w:val="000000" w:themeColor="text1"/>
          <w:sz w:val="30"/>
          <w:szCs w:val="30"/>
          <w14:textFill>
            <w14:solidFill>
              <w14:schemeClr w14:val="tx1"/>
            </w14:solidFill>
          </w14:textFill>
        </w:rPr>
        <w:t>双方权利和义务</w:t>
      </w:r>
      <w:bookmarkEnd w:id="8"/>
    </w:p>
    <w:bookmarkEnd w:id="7"/>
    <w:p w14:paraId="75AB51EC">
      <w:pPr>
        <w:numPr>
          <w:ilvl w:val="0"/>
          <w:numId w:val="3"/>
        </w:numPr>
        <w:ind w:firstLine="562" w:firstLineChars="20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甲方的权利和义务</w:t>
      </w:r>
    </w:p>
    <w:p w14:paraId="7CBFACEB">
      <w:pPr>
        <w:numPr>
          <w:ilvl w:val="0"/>
          <w:numId w:val="4"/>
        </w:num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根据专业教学计划和课程教学大纲要求，与乙方共同制定实践教学、认知实习、岗位实习等具体实施计划和安排。</w:t>
      </w:r>
    </w:p>
    <w:p w14:paraId="14B8923A">
      <w:pPr>
        <w:numPr>
          <w:ilvl w:val="0"/>
          <w:numId w:val="4"/>
        </w:num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委派教师与乙方技术人员、管理人员共同指导管理学生生产实践。</w:t>
      </w:r>
    </w:p>
    <w:p w14:paraId="3613CD84">
      <w:pPr>
        <w:numPr>
          <w:ilvl w:val="0"/>
          <w:numId w:val="4"/>
        </w:num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为乙方员工的继续教育、执业资格鉴定等提供培训与方便。</w:t>
      </w:r>
    </w:p>
    <w:p w14:paraId="137476AE">
      <w:pPr>
        <w:numPr>
          <w:ilvl w:val="0"/>
          <w:numId w:val="4"/>
        </w:num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依据人才培养方案生产实践项目规格要求设置、开发课程、组织教学，确保学生能够胜任生产实践岗位。</w:t>
      </w:r>
    </w:p>
    <w:p w14:paraId="06778049">
      <w:pPr>
        <w:numPr>
          <w:ilvl w:val="0"/>
          <w:numId w:val="4"/>
        </w:num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根据乙方的用人需求，优先并择优推荐毕业生。</w:t>
      </w:r>
    </w:p>
    <w:p w14:paraId="7CC8B592">
      <w:pPr>
        <w:numPr>
          <w:ilvl w:val="0"/>
          <w:numId w:val="4"/>
        </w:numPr>
        <w:ind w:firstLine="560" w:firstLineChars="200"/>
        <w:rPr>
          <w:rFonts w:hint="eastAsia"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FF0000"/>
          <w:sz w:val="28"/>
          <w:szCs w:val="28"/>
          <w:highlight w:val="none"/>
          <w:u w:val="single"/>
          <w:lang w:val="en-US" w:eastAsia="zh-CN"/>
        </w:rPr>
        <w:t>其他：</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依据实际合作情况添加或删除</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p>
    <w:p w14:paraId="6E132C1E">
      <w:pPr>
        <w:numPr>
          <w:ilvl w:val="0"/>
          <w:numId w:val="3"/>
        </w:numPr>
        <w:ind w:firstLine="562" w:firstLineChars="200"/>
        <w:rPr>
          <w:rFonts w:hint="eastAsia" w:ascii="楷体" w:hAnsi="楷体" w:eastAsia="楷体" w:cs="楷体"/>
          <w:b/>
          <w:bCs/>
          <w:color w:val="000000" w:themeColor="text1"/>
          <w:sz w:val="28"/>
          <w:szCs w:val="28"/>
          <w14:textFill>
            <w14:solidFill>
              <w14:schemeClr w14:val="tx1"/>
            </w14:solidFill>
          </w14:textFill>
        </w:rPr>
      </w:pPr>
      <w:r>
        <w:rPr>
          <w:rFonts w:hint="eastAsia" w:ascii="楷体" w:hAnsi="楷体" w:eastAsia="楷体" w:cs="楷体"/>
          <w:b/>
          <w:bCs/>
          <w:color w:val="000000" w:themeColor="text1"/>
          <w:sz w:val="28"/>
          <w:szCs w:val="28"/>
          <w14:textFill>
            <w14:solidFill>
              <w14:schemeClr w14:val="tx1"/>
            </w14:solidFill>
          </w14:textFill>
        </w:rPr>
        <w:t>乙方的权利和义务</w:t>
      </w:r>
    </w:p>
    <w:p w14:paraId="34D84956">
      <w:pPr>
        <w:numPr>
          <w:ilvl w:val="0"/>
          <w:numId w:val="5"/>
        </w:num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发挥自身的行业优势和社会影响，根据项目需要与甲方进行项目合作研究，并对双方成果进行推广。</w:t>
      </w:r>
    </w:p>
    <w:p w14:paraId="3C83A42A">
      <w:pPr>
        <w:numPr>
          <w:ilvl w:val="0"/>
          <w:numId w:val="5"/>
        </w:numPr>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推选优秀的专业技术人员、管理人员</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与甲方共同进行人才培养方案的制定等工作，教学成果归双方共同所有。</w:t>
      </w:r>
    </w:p>
    <w:p w14:paraId="304CA6AA">
      <w:pPr>
        <w:numPr>
          <w:ilvl w:val="0"/>
          <w:numId w:val="5"/>
        </w:numPr>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充分利用人力资源，选送既有丰富实战经验又能从事教学工作的专业技术人员和管理人员担任企业导师，并为甲方培养“双师型”教师提供帮助。</w:t>
      </w:r>
    </w:p>
    <w:p w14:paraId="308A0C51">
      <w:pPr>
        <w:numPr>
          <w:ilvl w:val="0"/>
          <w:numId w:val="5"/>
        </w:numPr>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按照双方制定的人才培养模式，结合单位实际情况，安排学生生产项目实践活动等。</w:t>
      </w:r>
    </w:p>
    <w:p w14:paraId="68B4D8EF">
      <w:pPr>
        <w:numPr>
          <w:ilvl w:val="0"/>
          <w:numId w:val="5"/>
        </w:numPr>
        <w:ind w:left="0" w:leftChars="0"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000000"/>
          <w:sz w:val="28"/>
          <w:szCs w:val="28"/>
        </w:rPr>
        <w:t>根据乙方需要选聘甲方毕业生就业，并为甲方进行毕业生跟踪调查提供</w:t>
      </w:r>
      <w:r>
        <w:rPr>
          <w:rFonts w:hint="eastAsia" w:ascii="仿宋" w:hAnsi="仿宋" w:eastAsia="仿宋" w:cs="仿宋"/>
          <w:color w:val="000000"/>
          <w:sz w:val="28"/>
          <w:szCs w:val="28"/>
          <w:lang w:val="en-US" w:eastAsia="zh-CN"/>
        </w:rPr>
        <w:t>便利</w:t>
      </w:r>
      <w:r>
        <w:rPr>
          <w:rFonts w:hint="eastAsia" w:ascii="仿宋" w:hAnsi="仿宋" w:eastAsia="仿宋" w:cs="仿宋"/>
          <w:color w:val="000000"/>
          <w:sz w:val="28"/>
          <w:szCs w:val="28"/>
        </w:rPr>
        <w:t>。</w:t>
      </w:r>
    </w:p>
    <w:p w14:paraId="54A9DCE9">
      <w:pPr>
        <w:numPr>
          <w:ilvl w:val="0"/>
          <w:numId w:val="5"/>
        </w:numPr>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auto"/>
          <w:sz w:val="28"/>
          <w:szCs w:val="28"/>
        </w:rPr>
        <w:t>乙方作为学生培训实习期间的直接管理方，须全面承担学生在培训实习期间的人身安全、财产安全</w:t>
      </w:r>
      <w:r>
        <w:rPr>
          <w:rFonts w:hint="eastAsia" w:ascii="仿宋" w:hAnsi="仿宋" w:eastAsia="仿宋" w:cs="仿宋"/>
          <w:color w:val="000000"/>
          <w:sz w:val="28"/>
          <w:szCs w:val="28"/>
        </w:rPr>
        <w:t>及职业健康安全管理责任，确保实习岗位符合国家安全生产法律法规</w:t>
      </w:r>
      <w:r>
        <w:rPr>
          <w:rFonts w:hint="eastAsia" w:ascii="仿宋" w:hAnsi="仿宋" w:eastAsia="仿宋" w:cs="仿宋"/>
          <w:color w:val="auto"/>
          <w:sz w:val="28"/>
          <w:szCs w:val="28"/>
        </w:rPr>
        <w:t>要求，</w:t>
      </w:r>
      <w:r>
        <w:rPr>
          <w:rFonts w:hint="eastAsia" w:ascii="仿宋" w:hAnsi="仿宋" w:eastAsia="仿宋" w:cs="仿宋"/>
          <w:color w:val="auto"/>
          <w:sz w:val="28"/>
          <w:szCs w:val="28"/>
          <w:lang w:val="en-US" w:eastAsia="zh-CN"/>
        </w:rPr>
        <w:t>严格遵守</w:t>
      </w:r>
      <w:r>
        <w:rPr>
          <w:rFonts w:hint="eastAsia" w:ascii="仿宋" w:hAnsi="仿宋" w:eastAsia="仿宋" w:cs="仿宋"/>
          <w:color w:val="auto"/>
          <w:sz w:val="28"/>
          <w:szCs w:val="28"/>
        </w:rPr>
        <w:t>《职业学校学生实习管理规定》</w:t>
      </w:r>
      <w:r>
        <w:rPr>
          <w:rFonts w:hint="eastAsia" w:ascii="仿宋" w:hAnsi="仿宋" w:eastAsia="仿宋" w:cs="仿宋"/>
          <w:color w:val="auto"/>
          <w:sz w:val="28"/>
          <w:szCs w:val="28"/>
          <w:lang w:val="en-US" w:eastAsia="zh-CN"/>
        </w:rPr>
        <w:t>的文件规定</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按照“1个‘严禁’、27个‘不得’”开展岗位实习工作。</w:t>
      </w:r>
    </w:p>
    <w:p w14:paraId="088AB2B7">
      <w:pPr>
        <w:numPr>
          <w:ilvl w:val="0"/>
          <w:numId w:val="5"/>
        </w:numPr>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发生工伤或突发安全事件时，乙方须立即启动应急预案，并第一时间通知甲方，配合完成事故调查与善后处理。</w:t>
      </w:r>
    </w:p>
    <w:p w14:paraId="244FE1DF">
      <w:pPr>
        <w:numPr>
          <w:ilvl w:val="0"/>
          <w:numId w:val="5"/>
        </w:numPr>
        <w:ind w:left="0" w:leftChars="0" w:firstLine="560" w:firstLineChars="200"/>
        <w:rPr>
          <w:rFonts w:hint="eastAsia" w:ascii="宋体" w:hAnsi="宋体" w:cs="宋体"/>
          <w:b/>
          <w:sz w:val="30"/>
          <w:szCs w:val="30"/>
          <w:lang w:val="en-US" w:eastAsia="zh-CN"/>
        </w:rPr>
      </w:pPr>
      <w:r>
        <w:rPr>
          <w:rFonts w:hint="eastAsia" w:ascii="仿宋" w:hAnsi="仿宋" w:eastAsia="仿宋" w:cs="仿宋"/>
          <w:color w:val="FF0000"/>
          <w:sz w:val="28"/>
          <w:szCs w:val="28"/>
          <w:highlight w:val="none"/>
          <w:u w:val="single"/>
          <w:lang w:val="en-US" w:eastAsia="zh-CN"/>
        </w:rPr>
        <w:t>其他：</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依据实际合作情况添加或删除</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p>
    <w:p w14:paraId="7EC52DD1">
      <w:pPr>
        <w:numPr>
          <w:ilvl w:val="0"/>
          <w:numId w:val="0"/>
        </w:numPr>
        <w:snapToGrid w:val="0"/>
        <w:spacing w:before="156" w:beforeLines="50" w:after="156" w:afterLines="50"/>
        <w:rPr>
          <w:rFonts w:hint="eastAsia" w:ascii="宋体" w:hAnsi="宋体" w:cs="宋体"/>
          <w:b/>
          <w:sz w:val="30"/>
          <w:szCs w:val="30"/>
          <w:lang w:val="en-US" w:eastAsia="zh-CN"/>
        </w:rPr>
      </w:pPr>
      <w:r>
        <w:rPr>
          <w:rFonts w:hint="eastAsia" w:ascii="宋体" w:hAnsi="宋体" w:cs="宋体"/>
          <w:b/>
          <w:sz w:val="30"/>
          <w:szCs w:val="30"/>
          <w:lang w:val="en-US" w:eastAsia="zh-CN"/>
        </w:rPr>
        <w:t>第五条 合作时间</w:t>
      </w:r>
    </w:p>
    <w:p w14:paraId="555EFD41">
      <w:pPr>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合作协议自双方盖章之日起生效，合作期限为</w:t>
      </w:r>
      <w:r>
        <w:rPr>
          <w:rFonts w:hint="eastAsia" w:ascii="仿宋" w:hAnsi="仿宋" w:eastAsia="仿宋" w:cs="仿宋"/>
          <w:color w:val="FF0000"/>
          <w:sz w:val="28"/>
          <w:szCs w:val="28"/>
          <w:lang w:val="en-US" w:eastAsia="zh-CN"/>
        </w:rPr>
        <w:t xml:space="preserve"> X </w:t>
      </w:r>
      <w:r>
        <w:rPr>
          <w:rFonts w:hint="eastAsia" w:ascii="仿宋" w:hAnsi="仿宋" w:eastAsia="仿宋" w:cs="仿宋"/>
          <w:color w:val="auto"/>
          <w:sz w:val="28"/>
          <w:szCs w:val="28"/>
          <w:lang w:val="en-US" w:eastAsia="zh-CN"/>
        </w:rPr>
        <w:t>年</w:t>
      </w:r>
      <w:r>
        <w:rPr>
          <w:rFonts w:hint="eastAsia" w:ascii="仿宋" w:hAnsi="仿宋" w:eastAsia="仿宋" w:cs="仿宋"/>
          <w:color w:val="000000"/>
          <w:sz w:val="28"/>
          <w:szCs w:val="28"/>
          <w:lang w:val="en-US" w:eastAsia="zh-CN"/>
        </w:rPr>
        <w:t>。本协议到期后，根据双方合作意愿和实际情况，可共同商议形成新的合作意向。</w:t>
      </w:r>
    </w:p>
    <w:p w14:paraId="247D88E4">
      <w:pPr>
        <w:ind w:firstLine="560" w:firstLineChars="200"/>
        <w:rPr>
          <w:rFonts w:hint="default" w:ascii="仿宋" w:hAnsi="仿宋" w:eastAsia="仿宋" w:cs="仿宋"/>
          <w:color w:val="000000"/>
          <w:sz w:val="28"/>
          <w:szCs w:val="28"/>
          <w:lang w:val="en-US" w:eastAsia="zh-CN"/>
        </w:rPr>
      </w:pPr>
    </w:p>
    <w:p w14:paraId="3890E728">
      <w:pPr>
        <w:numPr>
          <w:ilvl w:val="0"/>
          <w:numId w:val="0"/>
        </w:numPr>
        <w:snapToGrid w:val="0"/>
        <w:spacing w:before="156" w:beforeLines="50" w:after="156" w:afterLines="50"/>
        <w:rPr>
          <w:rFonts w:hint="eastAsia" w:ascii="宋体" w:hAnsi="宋体" w:cs="宋体"/>
          <w:b/>
          <w:sz w:val="30"/>
          <w:szCs w:val="30"/>
        </w:rPr>
      </w:pPr>
      <w:bookmarkStart w:id="9" w:name="page4"/>
      <w:bookmarkEnd w:id="9"/>
      <w:r>
        <w:rPr>
          <w:rFonts w:hint="eastAsia" w:ascii="宋体" w:hAnsi="宋体" w:cs="宋体"/>
          <w:b/>
          <w:sz w:val="30"/>
          <w:szCs w:val="30"/>
          <w:lang w:val="en-US" w:eastAsia="zh-CN"/>
        </w:rPr>
        <w:t xml:space="preserve">第六条 </w:t>
      </w:r>
      <w:r>
        <w:rPr>
          <w:rFonts w:hint="eastAsia" w:ascii="宋体" w:hAnsi="宋体" w:cs="宋体"/>
          <w:b/>
          <w:sz w:val="30"/>
          <w:szCs w:val="30"/>
        </w:rPr>
        <w:t>其他</w:t>
      </w:r>
    </w:p>
    <w:p w14:paraId="42479217">
      <w:pPr>
        <w:numPr>
          <w:ilvl w:val="0"/>
          <w:numId w:val="0"/>
        </w:num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 xml:space="preserve">1. </w:t>
      </w:r>
      <w:r>
        <w:rPr>
          <w:rFonts w:hint="eastAsia" w:ascii="仿宋" w:hAnsi="仿宋" w:eastAsia="仿宋" w:cs="仿宋"/>
          <w:sz w:val="28"/>
          <w:szCs w:val="28"/>
        </w:rPr>
        <w:t>此协议仅为框架协议，</w:t>
      </w:r>
      <w:r>
        <w:rPr>
          <w:rFonts w:hint="eastAsia" w:ascii="仿宋" w:hAnsi="仿宋" w:eastAsia="仿宋" w:cs="仿宋"/>
          <w:color w:val="auto"/>
          <w:sz w:val="28"/>
          <w:szCs w:val="28"/>
          <w:lang w:eastAsia="zh-CN"/>
        </w:rPr>
        <w:t>本协议下具体方案及</w:t>
      </w:r>
      <w:r>
        <w:rPr>
          <w:rFonts w:hint="eastAsia" w:ascii="仿宋" w:hAnsi="仿宋" w:eastAsia="仿宋" w:cs="仿宋"/>
          <w:color w:val="auto"/>
          <w:sz w:val="28"/>
          <w:szCs w:val="28"/>
        </w:rPr>
        <w:t>其</w:t>
      </w:r>
      <w:r>
        <w:rPr>
          <w:rFonts w:hint="eastAsia" w:ascii="仿宋" w:hAnsi="仿宋" w:eastAsia="仿宋" w:cs="仿宋"/>
          <w:sz w:val="28"/>
          <w:szCs w:val="28"/>
        </w:rPr>
        <w:t>他合作形式</w:t>
      </w:r>
      <w:r>
        <w:rPr>
          <w:rFonts w:hint="eastAsia" w:ascii="仿宋" w:hAnsi="仿宋" w:eastAsia="仿宋" w:cs="仿宋"/>
          <w:sz w:val="28"/>
          <w:szCs w:val="28"/>
          <w:lang w:eastAsia="zh-CN"/>
        </w:rPr>
        <w:t>（</w:t>
      </w:r>
      <w:r>
        <w:rPr>
          <w:rFonts w:hint="eastAsia" w:ascii="仿宋" w:hAnsi="仿宋" w:eastAsia="仿宋" w:cs="仿宋"/>
          <w:sz w:val="28"/>
          <w:szCs w:val="28"/>
        </w:rPr>
        <w:t>如有</w:t>
      </w:r>
      <w:r>
        <w:rPr>
          <w:rFonts w:hint="eastAsia" w:ascii="仿宋" w:hAnsi="仿宋" w:eastAsia="仿宋" w:cs="仿宋"/>
          <w:sz w:val="28"/>
          <w:szCs w:val="28"/>
          <w:lang w:eastAsia="zh-CN"/>
        </w:rPr>
        <w:t>）</w:t>
      </w:r>
      <w:r>
        <w:rPr>
          <w:rFonts w:hint="eastAsia" w:ascii="仿宋" w:hAnsi="仿宋" w:eastAsia="仿宋" w:cs="仿宋"/>
          <w:sz w:val="28"/>
          <w:szCs w:val="28"/>
        </w:rPr>
        <w:t>，双方可签订相应的具体细则作为此协议的补充，细则与本协议具有同等效力。如遇客观情况发生重大变化或其他未尽事宜时，双方可另行协商。</w:t>
      </w:r>
    </w:p>
    <w:p w14:paraId="5BABF968">
      <w:pPr>
        <w:numPr>
          <w:ilvl w:val="0"/>
          <w:numId w:val="0"/>
        </w:num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 xml:space="preserve">2. </w:t>
      </w:r>
      <w:r>
        <w:rPr>
          <w:rFonts w:hint="eastAsia" w:ascii="仿宋" w:hAnsi="仿宋" w:eastAsia="仿宋" w:cs="仿宋"/>
          <w:sz w:val="28"/>
          <w:szCs w:val="28"/>
        </w:rPr>
        <w:t>为加强沟通和联系，甲、乙双方应明确联系人和联系方式，并通过不定期的会面研究解决合作过程中的问题。</w:t>
      </w:r>
    </w:p>
    <w:p w14:paraId="21756600">
      <w:pPr>
        <w:numPr>
          <w:ilvl w:val="0"/>
          <w:numId w:val="0"/>
        </w:num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 xml:space="preserve">3. </w:t>
      </w:r>
      <w:r>
        <w:rPr>
          <w:rFonts w:hint="eastAsia" w:ascii="仿宋" w:hAnsi="仿宋" w:eastAsia="仿宋" w:cs="仿宋"/>
          <w:sz w:val="28"/>
          <w:szCs w:val="28"/>
          <w:lang w:eastAsia="zh-CN"/>
        </w:rPr>
        <w:t>双方应当尽到互相保密的义务，未经对方书面许可，不得向任何第三方泄露、披露或者允许任何第三方使用本协议履行过程中获取到的商业秘密、知识产权、学生信息等。</w:t>
      </w:r>
      <w:r>
        <w:rPr>
          <w:rFonts w:hint="eastAsia" w:ascii="仿宋" w:hAnsi="仿宋" w:eastAsia="仿宋" w:cs="仿宋"/>
          <w:sz w:val="28"/>
          <w:szCs w:val="28"/>
        </w:rPr>
        <w:t>本保密义务自本协议生效之日起生效，至相关信息进入公知领域或双方书面同意解除保密义务之日止。</w:t>
      </w:r>
    </w:p>
    <w:p w14:paraId="395FA8D6">
      <w:pPr>
        <w:numPr>
          <w:ilvl w:val="0"/>
          <w:numId w:val="0"/>
        </w:num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 xml:space="preserve">4. </w:t>
      </w:r>
      <w:r>
        <w:rPr>
          <w:rFonts w:hint="eastAsia" w:ascii="仿宋" w:hAnsi="仿宋" w:eastAsia="仿宋" w:cs="仿宋"/>
          <w:sz w:val="28"/>
          <w:szCs w:val="28"/>
        </w:rPr>
        <w:t>因履行本协议</w:t>
      </w:r>
      <w:r>
        <w:rPr>
          <w:rFonts w:hint="eastAsia" w:ascii="仿宋" w:hAnsi="仿宋" w:eastAsia="仿宋" w:cs="仿宋"/>
          <w:sz w:val="28"/>
          <w:szCs w:val="28"/>
          <w:lang w:eastAsia="zh-CN"/>
        </w:rPr>
        <w:t>过程中发生的</w:t>
      </w:r>
      <w:r>
        <w:rPr>
          <w:rFonts w:hint="eastAsia" w:ascii="仿宋" w:hAnsi="仿宋" w:eastAsia="仿宋" w:cs="仿宋"/>
          <w:sz w:val="28"/>
          <w:szCs w:val="28"/>
        </w:rPr>
        <w:t>与本协议有关的任何争议，</w:t>
      </w:r>
      <w:r>
        <w:rPr>
          <w:rFonts w:hint="eastAsia" w:ascii="仿宋" w:hAnsi="仿宋" w:eastAsia="仿宋" w:cs="仿宋"/>
          <w:sz w:val="28"/>
          <w:szCs w:val="28"/>
          <w:lang w:eastAsia="zh-CN"/>
        </w:rPr>
        <w:t>如双方无法协商一致，提交甲方所在地人民法院管辖。</w:t>
      </w:r>
    </w:p>
    <w:p w14:paraId="6518C6BA">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5. </w:t>
      </w:r>
      <w:r>
        <w:rPr>
          <w:rFonts w:hint="eastAsia" w:ascii="仿宋" w:hAnsi="仿宋" w:eastAsia="仿宋" w:cs="仿宋"/>
          <w:sz w:val="28"/>
          <w:szCs w:val="28"/>
        </w:rPr>
        <w:t>本协议一式</w:t>
      </w:r>
      <w:r>
        <w:rPr>
          <w:rFonts w:hint="eastAsia" w:ascii="仿宋" w:hAnsi="仿宋" w:eastAsia="仿宋" w:cs="仿宋"/>
          <w:sz w:val="28"/>
          <w:szCs w:val="28"/>
          <w:lang w:val="en-US" w:eastAsia="zh-CN"/>
        </w:rPr>
        <w:t>肆</w:t>
      </w:r>
      <w:r>
        <w:rPr>
          <w:rFonts w:hint="eastAsia" w:ascii="仿宋" w:hAnsi="仿宋" w:eastAsia="仿宋" w:cs="仿宋"/>
          <w:sz w:val="28"/>
          <w:szCs w:val="28"/>
        </w:rPr>
        <w:t>份，甲方持</w:t>
      </w:r>
      <w:r>
        <w:rPr>
          <w:rFonts w:hint="eastAsia" w:ascii="仿宋" w:hAnsi="仿宋" w:eastAsia="仿宋" w:cs="仿宋"/>
          <w:sz w:val="28"/>
          <w:szCs w:val="28"/>
          <w:lang w:val="en-US" w:eastAsia="zh-CN"/>
        </w:rPr>
        <w:t>叁</w:t>
      </w:r>
      <w:r>
        <w:rPr>
          <w:rFonts w:hint="eastAsia" w:ascii="仿宋" w:hAnsi="仿宋" w:eastAsia="仿宋" w:cs="仿宋"/>
          <w:sz w:val="28"/>
          <w:szCs w:val="28"/>
        </w:rPr>
        <w:t>份，乙方持</w:t>
      </w:r>
      <w:r>
        <w:rPr>
          <w:rFonts w:hint="eastAsia" w:ascii="仿宋" w:hAnsi="仿宋" w:eastAsia="仿宋" w:cs="仿宋"/>
          <w:sz w:val="28"/>
          <w:szCs w:val="28"/>
          <w:lang w:val="en-US" w:eastAsia="zh-CN"/>
        </w:rPr>
        <w:t>壹</w:t>
      </w:r>
      <w:r>
        <w:rPr>
          <w:rFonts w:hint="eastAsia" w:ascii="仿宋" w:hAnsi="仿宋" w:eastAsia="仿宋" w:cs="仿宋"/>
          <w:sz w:val="28"/>
          <w:szCs w:val="28"/>
        </w:rPr>
        <w:t>份</w:t>
      </w:r>
      <w:r>
        <w:rPr>
          <w:rFonts w:hint="eastAsia" w:ascii="仿宋" w:hAnsi="仿宋" w:eastAsia="仿宋" w:cs="仿宋"/>
          <w:sz w:val="28"/>
          <w:szCs w:val="28"/>
          <w:lang w:eastAsia="zh-CN"/>
        </w:rPr>
        <w:t>，具有同等法律效力。</w:t>
      </w:r>
    </w:p>
    <w:p w14:paraId="24BAAAAD">
      <w:pPr>
        <w:ind w:firstLine="560" w:firstLineChars="200"/>
        <w:rPr>
          <w:rFonts w:hint="eastAsia" w:ascii="仿宋" w:hAnsi="仿宋" w:eastAsia="仿宋" w:cs="仿宋"/>
          <w:sz w:val="28"/>
          <w:szCs w:val="28"/>
          <w:lang w:eastAsia="zh-CN"/>
        </w:rPr>
      </w:pPr>
    </w:p>
    <w:p w14:paraId="5A10EFBE">
      <w:pPr>
        <w:ind w:firstLine="560" w:firstLineChars="200"/>
        <w:rPr>
          <w:rFonts w:hint="eastAsia" w:ascii="仿宋" w:hAnsi="仿宋" w:eastAsia="仿宋" w:cs="仿宋"/>
          <w:sz w:val="28"/>
          <w:szCs w:val="28"/>
          <w:lang w:eastAsia="zh-CN"/>
        </w:rPr>
      </w:pPr>
    </w:p>
    <w:p w14:paraId="2E3928E7">
      <w:pPr>
        <w:ind w:firstLine="560" w:firstLineChars="200"/>
        <w:rPr>
          <w:rFonts w:hint="eastAsia" w:ascii="仿宋" w:hAnsi="仿宋" w:eastAsia="仿宋" w:cs="仿宋"/>
          <w:sz w:val="28"/>
          <w:szCs w:val="28"/>
          <w:lang w:val="en-US" w:eastAsia="zh-CN"/>
        </w:rPr>
      </w:pPr>
    </w:p>
    <w:p w14:paraId="17B98F61">
      <w:pPr>
        <w:ind w:firstLine="560" w:firstLineChars="20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【以下无正文】</w:t>
      </w:r>
    </w:p>
    <w:p w14:paraId="0FC49444">
      <w:pPr>
        <w:ind w:firstLine="560" w:firstLineChars="200"/>
        <w:jc w:val="center"/>
        <w:rPr>
          <w:rFonts w:hint="default" w:ascii="仿宋" w:hAnsi="仿宋" w:eastAsia="仿宋" w:cs="仿宋"/>
          <w:sz w:val="28"/>
          <w:szCs w:val="28"/>
          <w:lang w:val="en-US" w:eastAsia="zh-CN"/>
        </w:rPr>
      </w:pPr>
    </w:p>
    <w:p w14:paraId="07E38A70">
      <w:pPr>
        <w:tabs>
          <w:tab w:val="left" w:pos="180"/>
          <w:tab w:val="left" w:pos="900"/>
          <w:tab w:val="left" w:pos="1080"/>
          <w:tab w:val="left" w:pos="1440"/>
          <w:tab w:val="left" w:pos="1620"/>
          <w:tab w:val="left" w:pos="1980"/>
          <w:tab w:val="left" w:pos="2160"/>
        </w:tabs>
        <w:contextualSpacing/>
        <w:rPr>
          <w:rFonts w:hint="eastAsia" w:ascii="仿宋" w:hAnsi="仿宋" w:eastAsia="仿宋" w:cs="仿宋"/>
          <w:sz w:val="28"/>
          <w:szCs w:val="28"/>
          <w:u w:val="single"/>
        </w:rPr>
      </w:pPr>
      <w:r>
        <w:rPr>
          <w:rFonts w:hint="eastAsia" w:ascii="仿宋" w:hAnsi="仿宋" w:eastAsia="仿宋" w:cs="仿宋"/>
          <w:sz w:val="28"/>
          <w:szCs w:val="28"/>
        </w:rPr>
        <w:t>甲方（公章）：</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乙方（公章）：          </w:t>
      </w:r>
    </w:p>
    <w:p w14:paraId="1FB463E6">
      <w:pPr>
        <w:tabs>
          <w:tab w:val="left" w:pos="180"/>
          <w:tab w:val="left" w:pos="900"/>
          <w:tab w:val="left" w:pos="1080"/>
          <w:tab w:val="left" w:pos="1440"/>
          <w:tab w:val="left" w:pos="1620"/>
          <w:tab w:val="left" w:pos="1980"/>
          <w:tab w:val="left" w:pos="2160"/>
        </w:tabs>
        <w:contextualSpacing/>
        <w:rPr>
          <w:rFonts w:hint="default" w:ascii="仿宋" w:hAnsi="仿宋" w:eastAsia="仿宋" w:cs="仿宋"/>
          <w:b/>
          <w:bCs/>
          <w:color w:val="0000FF"/>
          <w:sz w:val="28"/>
          <w:szCs w:val="28"/>
          <w:lang w:val="en-US" w:eastAsia="zh-CN"/>
        </w:rPr>
      </w:pPr>
      <w:r>
        <w:rPr>
          <w:rFonts w:hint="eastAsia" w:ascii="仿宋" w:hAnsi="仿宋" w:eastAsia="仿宋" w:cs="仿宋"/>
          <w:sz w:val="28"/>
          <w:szCs w:val="28"/>
          <w:lang w:val="en-US" w:eastAsia="zh-CN"/>
        </w:rPr>
        <w:t>签署代表</w:t>
      </w:r>
      <w:r>
        <w:rPr>
          <w:rFonts w:hint="eastAsia" w:ascii="仿宋" w:hAnsi="仿宋" w:eastAsia="仿宋" w:cs="仿宋"/>
          <w:sz w:val="28"/>
          <w:szCs w:val="28"/>
        </w:rPr>
        <w:t>（签字）：</w:t>
      </w:r>
      <w:r>
        <w:rPr>
          <w:rFonts w:hint="eastAsia" w:ascii="仿宋" w:hAnsi="仿宋" w:eastAsia="仿宋" w:cs="仿宋"/>
          <w:b/>
          <w:bCs/>
          <w:color w:val="0000FF"/>
          <w:sz w:val="28"/>
          <w:szCs w:val="28"/>
          <w:lang w:val="en-US" w:eastAsia="zh-CN"/>
        </w:rPr>
        <w:t xml:space="preserve">                 </w:t>
      </w:r>
      <w:r>
        <w:rPr>
          <w:rFonts w:hint="eastAsia" w:ascii="仿宋" w:hAnsi="仿宋" w:eastAsia="仿宋" w:cs="仿宋"/>
          <w:sz w:val="28"/>
          <w:szCs w:val="28"/>
          <w:lang w:val="en-US" w:eastAsia="zh-CN"/>
        </w:rPr>
        <w:t>签署代表</w:t>
      </w:r>
      <w:r>
        <w:rPr>
          <w:rFonts w:hint="eastAsia" w:ascii="仿宋" w:hAnsi="仿宋" w:eastAsia="仿宋" w:cs="仿宋"/>
          <w:sz w:val="28"/>
          <w:szCs w:val="28"/>
        </w:rPr>
        <w:t>（签字）：</w:t>
      </w:r>
    </w:p>
    <w:p w14:paraId="67E7F12F">
      <w:pPr>
        <w:tabs>
          <w:tab w:val="left" w:pos="180"/>
          <w:tab w:val="left" w:pos="900"/>
          <w:tab w:val="left" w:pos="1080"/>
          <w:tab w:val="left" w:pos="1440"/>
          <w:tab w:val="left" w:pos="1620"/>
          <w:tab w:val="left" w:pos="1980"/>
          <w:tab w:val="left" w:pos="2160"/>
        </w:tabs>
        <w:contextualSpacing/>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sz w:val="28"/>
          <w:szCs w:val="28"/>
          <w:lang w:val="en-US" w:eastAsia="zh-CN"/>
        </w:rPr>
        <w:t xml:space="preserve">联系电话：        </w:t>
      </w:r>
      <w:r>
        <w:rPr>
          <w:rFonts w:hint="eastAsia" w:ascii="仿宋" w:hAnsi="仿宋" w:eastAsia="仿宋" w:cs="仿宋"/>
          <w:b w:val="0"/>
          <w:bCs w:val="0"/>
          <w:color w:val="auto"/>
          <w:sz w:val="28"/>
          <w:szCs w:val="28"/>
        </w:rPr>
        <w:t xml:space="preserve">       </w:t>
      </w:r>
      <w:r>
        <w:rPr>
          <w:rFonts w:hint="eastAsia" w:ascii="仿宋" w:hAnsi="仿宋" w:eastAsia="仿宋" w:cs="仿宋"/>
          <w:b w:val="0"/>
          <w:bCs w:val="0"/>
          <w:color w:val="auto"/>
          <w:sz w:val="28"/>
          <w:szCs w:val="28"/>
          <w:lang w:val="en-US" w:eastAsia="zh-CN"/>
        </w:rPr>
        <w:t xml:space="preserve">         联系电话：  </w:t>
      </w:r>
    </w:p>
    <w:p w14:paraId="39C216B4">
      <w:pPr>
        <w:tabs>
          <w:tab w:val="left" w:pos="540"/>
          <w:tab w:val="left" w:pos="900"/>
          <w:tab w:val="left" w:pos="2160"/>
          <w:tab w:val="left" w:pos="5220"/>
        </w:tabs>
        <w:contextualSpacing/>
        <w:rPr>
          <w:rFonts w:hint="eastAsia" w:ascii="仿宋" w:hAnsi="仿宋" w:eastAsia="仿宋" w:cs="仿宋"/>
          <w:sz w:val="28"/>
          <w:szCs w:val="28"/>
        </w:rPr>
      </w:pPr>
      <w:r>
        <w:rPr>
          <w:rFonts w:hint="eastAsia" w:ascii="仿宋" w:hAnsi="仿宋" w:eastAsia="仿宋" w:cs="仿宋"/>
          <w:sz w:val="28"/>
          <w:szCs w:val="28"/>
        </w:rPr>
        <w:t xml:space="preserve">签约日期：   年   月   日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签约日期：     年   月   日</w:t>
      </w:r>
    </w:p>
    <w:sectPr>
      <w:footerReference r:id="rId5" w:type="default"/>
      <w:pgSz w:w="11906" w:h="16838"/>
      <w:pgMar w:top="1270" w:right="1406" w:bottom="1270" w:left="1206"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华文隶书">
    <w:panose1 w:val="02010800040101010101"/>
    <w:charset w:val="86"/>
    <w:family w:val="auto"/>
    <w:pitch w:val="default"/>
    <w:sig w:usb0="00000001" w:usb1="080F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7F757">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4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DEE755F">
                          <w:pPr>
                            <w:snapToGrid w:val="0"/>
                            <w:rPr>
                              <w:sz w:val="18"/>
                            </w:rPr>
                          </w:pPr>
                        </w:p>
                      </w:txbxContent>
                    </wps:txbx>
                    <wps:bodyPr wrap="none" lIns="0" tIns="0" rIns="0" bIns="0">
                      <a:spAutoFit/>
                    </wps:bodyPr>
                  </wps:wsp>
                </a:graphicData>
              </a:graphic>
            </wp:anchor>
          </w:drawing>
        </mc:Choice>
        <mc:Fallback>
          <w:pict>
            <v:rect id="文本框4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w/E/C9AQAAgwMAAA4AAABkcnMvZTJvRG9jLnhtbK1TS27bMBDdB+gd&#10;CO5rykbRGoLloICRokDRBkhzAJoiLQL8gUNb8gXaG3TVTfY5l8/RISU7abrJohvpzXD0Zt4banU9&#10;WEMOMoL2rqHzWUWJdMK32u0aev/95u2SEkjctdx4Jxt6lECv12+uVn2o5cJ33rQyEiRxUPehoV1K&#10;oWYMRCcth5kP0uGh8tHyhGHcsTbyHtmtYYuqes96H9sQvZAAmN2Mh3RijK8h9EppITde7K10aWSN&#10;0vCEkqDTAei6TKuUFOmbUiATMQ1Fpak8sQnibX6y9YrXu8hDp8U0An/NCC80Wa4dNr1QbXjiZB/1&#10;P1RWi+jBqzQT3rJRSHEEVcyrF97cdTzIogWthnAxHf4frfh6uI1Etw39QInjFhd++vXz9Pvx9PDj&#10;3SLb0weoseou3MYpAoRZ66CizW9UQYZi6fFiqRwSEZicLxfLZYVuCzw7B8jDnj4PEdIn6S3JoKER&#10;d1as5IcvkMbSc0nu5vyNNgbzvDburwRy5gzLE48zZpSG7TANvvXtEdX2uO6GOrzdlJjPDt3MN+MM&#10;4hlsJ5B7QPi4T9i4zJNZR6qpGe6mKJruUV7+87hUPf076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5dblS0AAAAAUBAAAPAAAAAAAAAAEAIAAAACIAAABkcnMvZG93bnJldi54bWxQSwECFAAUAAAA&#10;CACHTuJAnD8T8L0BAACDAwAADgAAAAAAAAABACAAAAAfAQAAZHJzL2Uyb0RvYy54bWxQSwUGAAAA&#10;AAYABgBZAQAATgUAAAAA&#10;">
              <v:fill on="f" focussize="0,0"/>
              <v:stroke on="f"/>
              <v:imagedata o:title=""/>
              <o:lock v:ext="edit" aspectratio="f"/>
              <v:textbox inset="0mm,0mm,0mm,0mm" style="mso-fit-shape-to-text:t;">
                <w:txbxContent>
                  <w:p w14:paraId="7DEE755F">
                    <w:pPr>
                      <w:snapToGrid w:val="0"/>
                      <w:rPr>
                        <w:sz w:val="1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EF4FE">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9C7D0">
                          <w:pPr>
                            <w:pStyle w:val="8"/>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179C7D0">
                    <w:pPr>
                      <w:pStyle w:val="8"/>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4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168B5C0">
                          <w:pPr>
                            <w:snapToGrid w:val="0"/>
                            <w:rPr>
                              <w:sz w:val="18"/>
                            </w:rPr>
                          </w:pPr>
                        </w:p>
                      </w:txbxContent>
                    </wps:txbx>
                    <wps:bodyPr wrap="none" lIns="0" tIns="0" rIns="0" bIns="0">
                      <a:spAutoFit/>
                    </wps:bodyPr>
                  </wps:wsp>
                </a:graphicData>
              </a:graphic>
            </wp:anchor>
          </w:drawing>
        </mc:Choice>
        <mc:Fallback>
          <w:pict>
            <v:rect id="文本框4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RbTSS+AQAAhAMAAA4AAABkcnMvZTJvRG9jLnhtbK1TS27bMBDdB+gd&#10;CO5rykZRGILlIICRoEDRBkhzAJoiLQL8gUNb8gXaG3TVTfc9l8/RISU7n26y6IaaGY7ezHszXF0P&#10;1pCDjKC9a+h8VlEinfCtdruGPn67fb+kBBJ3LTfeyYYeJdDr9burVR9qufCdN62MBEEc1H1oaJdS&#10;qBkD0UnLYeaDdHipfLQ8oRt3rI28R3Rr2KKqPrLexzZELyQARjfjJZ0Q41sAvVJayI0XeytdGlGj&#10;NDwhJeh0ALou3SolRfqqFMhETEORaSonFkF7m0+2XvF6F3notJha4G9p4RUny7XDoheoDU+c7KP+&#10;B8pqET14lWbCWzYSKYogi3n1SpuHjgdZuKDUEC6iw/+DFV8O95HoFjdhTonjFid++vnj9OvP6ff3&#10;D4usTx+gxrSHcB8nD9DMZAcVbf4iDTIUTY8XTeWQiMDgfLlYLiuUW+Dd2UEc9vR7iJDupLckGw2N&#10;OLSiJT98hjSmnlNyNedvtTEY57VxLwKImSMsdzz2mK00bIep8a1vj0i3x3k31OF6U2I+OZQzr8bZ&#10;iGdjOxm5BoSbfcLCpZ+MOkJNxXA4hdG0SHn6z/2S9fR41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XW5UtAAAAAFAQAADwAAAAAAAAABACAAAAAiAAAAZHJzL2Rvd25yZXYueG1sUEsBAhQAFAAA&#10;AAgAh07iQJRbTSS+AQAAhAMAAA4AAAAAAAAAAQAgAAAAHwEAAGRycy9lMm9Eb2MueG1sUEsFBgAA&#10;AAAGAAYAWQEAAE8FAAAAAA==&#10;">
              <v:fill on="f" focussize="0,0"/>
              <v:stroke on="f"/>
              <v:imagedata o:title=""/>
              <o:lock v:ext="edit" aspectratio="f"/>
              <v:textbox inset="0mm,0mm,0mm,0mm" style="mso-fit-shape-to-text:t;">
                <w:txbxContent>
                  <w:p w14:paraId="7168B5C0">
                    <w:pPr>
                      <w:snapToGrid w:val="0"/>
                      <w:rPr>
                        <w:sz w:val="18"/>
                      </w:rPr>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816B2">
    <w:pPr>
      <w:pStyle w:val="9"/>
      <w:pBdr>
        <w:bottom w:val="single" w:color="auto" w:sz="6" w:space="5"/>
      </w:pBdr>
      <w:jc w:val="left"/>
    </w:pPr>
    <w:r>
      <w:drawing>
        <wp:inline distT="0" distB="0" distL="114300" distR="114300">
          <wp:extent cx="1605915" cy="238125"/>
          <wp:effectExtent l="0" t="0" r="32385" b="28575"/>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1"/>
                  <a:stretch>
                    <a:fillRect/>
                  </a:stretch>
                </pic:blipFill>
                <pic:spPr>
                  <a:xfrm>
                    <a:off x="0" y="0"/>
                    <a:ext cx="1605915" cy="238125"/>
                  </a:xfrm>
                  <a:prstGeom prst="rect">
                    <a:avLst/>
                  </a:prstGeom>
                  <a:noFill/>
                  <a:ln>
                    <a:noFill/>
                  </a:ln>
                  <a:effectLst>
                    <a:glow>
                      <a:scrgbClr r="0" g="0" b="0"/>
                    </a:glow>
                    <a:outerShdw dist="35921" dir="2699999" algn="ctr" rotWithShape="0">
                      <a:srgbClr val="1F3763"/>
                    </a:outerShdw>
                    <a:softEdge rad="0"/>
                  </a:effectLst>
                </pic:spPr>
              </pic:pic>
            </a:graphicData>
          </a:graphic>
        </wp:inline>
      </w:drawing>
    </w:r>
  </w:p>
  <w:p w14:paraId="679D5A2A">
    <w:pPr>
      <w:pStyle w:val="9"/>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34FA2"/>
    <w:multiLevelType w:val="singleLevel"/>
    <w:tmpl w:val="8AD34FA2"/>
    <w:lvl w:ilvl="0" w:tentative="0">
      <w:start w:val="1"/>
      <w:numFmt w:val="chineseCounting"/>
      <w:suff w:val="space"/>
      <w:lvlText w:val="第%1条"/>
      <w:lvlJc w:val="left"/>
      <w:rPr>
        <w:rFonts w:hint="eastAsia"/>
      </w:rPr>
    </w:lvl>
  </w:abstractNum>
  <w:abstractNum w:abstractNumId="1">
    <w:nsid w:val="C99705A8"/>
    <w:multiLevelType w:val="singleLevel"/>
    <w:tmpl w:val="C99705A8"/>
    <w:lvl w:ilvl="0" w:tentative="0">
      <w:start w:val="1"/>
      <w:numFmt w:val="decimal"/>
      <w:suff w:val="space"/>
      <w:lvlText w:val="%1."/>
      <w:lvlJc w:val="left"/>
    </w:lvl>
  </w:abstractNum>
  <w:abstractNum w:abstractNumId="2">
    <w:nsid w:val="00000008"/>
    <w:multiLevelType w:val="multilevel"/>
    <w:tmpl w:val="00000008"/>
    <w:lvl w:ilvl="0" w:tentative="0">
      <w:start w:val="1"/>
      <w:numFmt w:val="decimal"/>
      <w:lvlText w:val="%1."/>
      <w:lvlJc w:val="left"/>
      <w:pPr>
        <w:ind w:left="425" w:hanging="425"/>
      </w:pPr>
      <w:rPr>
        <w:rFonts w:cs="Times New Roman"/>
      </w:rPr>
    </w:lvl>
    <w:lvl w:ilvl="1" w:tentative="0">
      <w:start w:val="1"/>
      <w:numFmt w:val="chineseCountingThousand"/>
      <w:pStyle w:val="3"/>
      <w:lvlText w:val="(%2)"/>
      <w:lvlJc w:val="left"/>
      <w:pPr>
        <w:ind w:left="567" w:hanging="567"/>
      </w:pPr>
      <w:rPr>
        <w:rFonts w:cs="Times New Roman"/>
        <w:sz w:val="24"/>
        <w:szCs w:val="24"/>
      </w:rPr>
    </w:lvl>
    <w:lvl w:ilvl="2" w:tentative="0">
      <w:start w:val="1"/>
      <w:numFmt w:val="decimal"/>
      <w:lvlText w:val="%1.%2.%3."/>
      <w:lvlJc w:val="left"/>
      <w:pPr>
        <w:ind w:left="709" w:hanging="709"/>
      </w:pPr>
      <w:rPr>
        <w:rFonts w:cs="Times New Roman"/>
      </w:rPr>
    </w:lvl>
    <w:lvl w:ilvl="3" w:tentative="0">
      <w:start w:val="1"/>
      <w:numFmt w:val="decimal"/>
      <w:lvlText w:val="%1.%2.%3.%4."/>
      <w:lvlJc w:val="left"/>
      <w:pPr>
        <w:ind w:left="851" w:hanging="851"/>
      </w:pPr>
      <w:rPr>
        <w:rFonts w:cs="Times New Roman"/>
      </w:rPr>
    </w:lvl>
    <w:lvl w:ilvl="4" w:tentative="0">
      <w:start w:val="1"/>
      <w:numFmt w:val="decimal"/>
      <w:lvlText w:val="%1.%2.%3.%4.%5."/>
      <w:lvlJc w:val="left"/>
      <w:pPr>
        <w:ind w:left="992" w:hanging="992"/>
      </w:pPr>
      <w:rPr>
        <w:rFonts w:cs="Times New Roman"/>
      </w:rPr>
    </w:lvl>
    <w:lvl w:ilvl="5" w:tentative="0">
      <w:start w:val="1"/>
      <w:numFmt w:val="decimal"/>
      <w:lvlText w:val="%1.%2.%3.%4.%5.%6."/>
      <w:lvlJc w:val="left"/>
      <w:pPr>
        <w:ind w:left="1134" w:hanging="1134"/>
      </w:pPr>
      <w:rPr>
        <w:rFonts w:cs="Times New Roman"/>
      </w:rPr>
    </w:lvl>
    <w:lvl w:ilvl="6" w:tentative="0">
      <w:start w:val="1"/>
      <w:numFmt w:val="decimal"/>
      <w:lvlText w:val="%1.%2.%3.%4.%5.%6.%7."/>
      <w:lvlJc w:val="left"/>
      <w:pPr>
        <w:ind w:left="1276" w:hanging="1276"/>
      </w:pPr>
      <w:rPr>
        <w:rFonts w:cs="Times New Roman"/>
      </w:rPr>
    </w:lvl>
    <w:lvl w:ilvl="7" w:tentative="0">
      <w:start w:val="1"/>
      <w:numFmt w:val="decimal"/>
      <w:lvlText w:val="%1.%2.%3.%4.%5.%6.%7.%8."/>
      <w:lvlJc w:val="left"/>
      <w:pPr>
        <w:ind w:left="1418" w:hanging="1418"/>
      </w:pPr>
      <w:rPr>
        <w:rFonts w:cs="Times New Roman"/>
      </w:rPr>
    </w:lvl>
    <w:lvl w:ilvl="8" w:tentative="0">
      <w:start w:val="1"/>
      <w:numFmt w:val="decimal"/>
      <w:lvlText w:val="%1.%2.%3.%4.%5.%6.%7.%8.%9."/>
      <w:lvlJc w:val="left"/>
      <w:pPr>
        <w:ind w:left="1559" w:hanging="1559"/>
      </w:pPr>
      <w:rPr>
        <w:rFonts w:cs="Times New Roman"/>
      </w:rPr>
    </w:lvl>
  </w:abstractNum>
  <w:abstractNum w:abstractNumId="3">
    <w:nsid w:val="00BE3593"/>
    <w:multiLevelType w:val="singleLevel"/>
    <w:tmpl w:val="00BE3593"/>
    <w:lvl w:ilvl="0" w:tentative="0">
      <w:start w:val="1"/>
      <w:numFmt w:val="decimal"/>
      <w:suff w:val="space"/>
      <w:lvlText w:val="%1."/>
      <w:lvlJc w:val="left"/>
      <w:rPr>
        <w:rFonts w:hint="default"/>
        <w:b w:val="0"/>
        <w:bCs w:val="0"/>
      </w:rPr>
    </w:lvl>
  </w:abstractNum>
  <w:abstractNum w:abstractNumId="4">
    <w:nsid w:val="5A44508F"/>
    <w:multiLevelType w:val="singleLevel"/>
    <w:tmpl w:val="5A44508F"/>
    <w:lvl w:ilvl="0" w:tentative="0">
      <w:start w:val="1"/>
      <w:numFmt w:val="chineseCounting"/>
      <w:suff w:val="nothing"/>
      <w:lvlText w:val="（%1）"/>
      <w:lvlJc w:val="left"/>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2NjViMjcxODIxMWZlNTViOGMxZTZlMzA1MDc1MzQifQ=="/>
  </w:docVars>
  <w:rsids>
    <w:rsidRoot w:val="00172A27"/>
    <w:rsid w:val="00020EB0"/>
    <w:rsid w:val="00036972"/>
    <w:rsid w:val="00051C99"/>
    <w:rsid w:val="00094620"/>
    <w:rsid w:val="00096132"/>
    <w:rsid w:val="000D4082"/>
    <w:rsid w:val="000E5FF1"/>
    <w:rsid w:val="00125F98"/>
    <w:rsid w:val="00130731"/>
    <w:rsid w:val="001467DF"/>
    <w:rsid w:val="00151A61"/>
    <w:rsid w:val="00156FC7"/>
    <w:rsid w:val="00172A27"/>
    <w:rsid w:val="0019345F"/>
    <w:rsid w:val="001A2E1A"/>
    <w:rsid w:val="001C7AFC"/>
    <w:rsid w:val="001D3FFD"/>
    <w:rsid w:val="001F1D1C"/>
    <w:rsid w:val="001F67EC"/>
    <w:rsid w:val="00241137"/>
    <w:rsid w:val="00277AB2"/>
    <w:rsid w:val="002B25D9"/>
    <w:rsid w:val="002F4183"/>
    <w:rsid w:val="002F775F"/>
    <w:rsid w:val="0031603C"/>
    <w:rsid w:val="0037237B"/>
    <w:rsid w:val="003A228D"/>
    <w:rsid w:val="003B7F4F"/>
    <w:rsid w:val="003C2B81"/>
    <w:rsid w:val="0040306D"/>
    <w:rsid w:val="0042550A"/>
    <w:rsid w:val="004462D2"/>
    <w:rsid w:val="00446996"/>
    <w:rsid w:val="00446E36"/>
    <w:rsid w:val="00460A66"/>
    <w:rsid w:val="00463B01"/>
    <w:rsid w:val="00477914"/>
    <w:rsid w:val="00483A73"/>
    <w:rsid w:val="004D5CAB"/>
    <w:rsid w:val="004E5814"/>
    <w:rsid w:val="004E6CD3"/>
    <w:rsid w:val="004F441B"/>
    <w:rsid w:val="00502E26"/>
    <w:rsid w:val="0050405F"/>
    <w:rsid w:val="00512814"/>
    <w:rsid w:val="0052154F"/>
    <w:rsid w:val="0054340B"/>
    <w:rsid w:val="0056155A"/>
    <w:rsid w:val="005A27A2"/>
    <w:rsid w:val="005B68DE"/>
    <w:rsid w:val="005C0AAC"/>
    <w:rsid w:val="005D0AD4"/>
    <w:rsid w:val="00604D30"/>
    <w:rsid w:val="006231E1"/>
    <w:rsid w:val="00652448"/>
    <w:rsid w:val="00671A2E"/>
    <w:rsid w:val="00681F72"/>
    <w:rsid w:val="006A309A"/>
    <w:rsid w:val="006A5297"/>
    <w:rsid w:val="006E5289"/>
    <w:rsid w:val="00700C37"/>
    <w:rsid w:val="0071074D"/>
    <w:rsid w:val="00713CA4"/>
    <w:rsid w:val="00765103"/>
    <w:rsid w:val="0076595A"/>
    <w:rsid w:val="007700EF"/>
    <w:rsid w:val="00777FBB"/>
    <w:rsid w:val="00781076"/>
    <w:rsid w:val="007C40FD"/>
    <w:rsid w:val="007E22C4"/>
    <w:rsid w:val="00844B77"/>
    <w:rsid w:val="00871893"/>
    <w:rsid w:val="00895245"/>
    <w:rsid w:val="008C2CF1"/>
    <w:rsid w:val="008E381D"/>
    <w:rsid w:val="008F7527"/>
    <w:rsid w:val="00911798"/>
    <w:rsid w:val="00933DDE"/>
    <w:rsid w:val="00976D33"/>
    <w:rsid w:val="009775B1"/>
    <w:rsid w:val="009778BF"/>
    <w:rsid w:val="009A663A"/>
    <w:rsid w:val="009C5AF0"/>
    <w:rsid w:val="009E4CED"/>
    <w:rsid w:val="00A025BA"/>
    <w:rsid w:val="00A040B8"/>
    <w:rsid w:val="00A10BA3"/>
    <w:rsid w:val="00A47550"/>
    <w:rsid w:val="00A6565D"/>
    <w:rsid w:val="00A710DB"/>
    <w:rsid w:val="00A73C3B"/>
    <w:rsid w:val="00AD5AF9"/>
    <w:rsid w:val="00AD70ED"/>
    <w:rsid w:val="00AD7B0B"/>
    <w:rsid w:val="00B07814"/>
    <w:rsid w:val="00B11E4E"/>
    <w:rsid w:val="00B454D6"/>
    <w:rsid w:val="00B50E3E"/>
    <w:rsid w:val="00B5401A"/>
    <w:rsid w:val="00B55311"/>
    <w:rsid w:val="00B63203"/>
    <w:rsid w:val="00B83918"/>
    <w:rsid w:val="00BB4059"/>
    <w:rsid w:val="00BC2D18"/>
    <w:rsid w:val="00BD27BE"/>
    <w:rsid w:val="00BD5D19"/>
    <w:rsid w:val="00BE1DAC"/>
    <w:rsid w:val="00C125DE"/>
    <w:rsid w:val="00C37A26"/>
    <w:rsid w:val="00C4498E"/>
    <w:rsid w:val="00C74879"/>
    <w:rsid w:val="00C96560"/>
    <w:rsid w:val="00D07E9D"/>
    <w:rsid w:val="00D156B2"/>
    <w:rsid w:val="00D52E24"/>
    <w:rsid w:val="00D5674B"/>
    <w:rsid w:val="00DB2CD1"/>
    <w:rsid w:val="00DC0A1F"/>
    <w:rsid w:val="00DC3355"/>
    <w:rsid w:val="00DF2D40"/>
    <w:rsid w:val="00E33733"/>
    <w:rsid w:val="00E36DB3"/>
    <w:rsid w:val="00E50BC9"/>
    <w:rsid w:val="00E54DF2"/>
    <w:rsid w:val="00E6542B"/>
    <w:rsid w:val="00ED3112"/>
    <w:rsid w:val="00EF7EC7"/>
    <w:rsid w:val="00F174E8"/>
    <w:rsid w:val="00F5498F"/>
    <w:rsid w:val="00F65832"/>
    <w:rsid w:val="00F73F6E"/>
    <w:rsid w:val="00FB7F22"/>
    <w:rsid w:val="00FE3898"/>
    <w:rsid w:val="0150640F"/>
    <w:rsid w:val="01E373C4"/>
    <w:rsid w:val="0242726F"/>
    <w:rsid w:val="02A22BF1"/>
    <w:rsid w:val="0448406E"/>
    <w:rsid w:val="04B74C29"/>
    <w:rsid w:val="05A81AF4"/>
    <w:rsid w:val="05C059EA"/>
    <w:rsid w:val="07561A8B"/>
    <w:rsid w:val="07B5291F"/>
    <w:rsid w:val="08020ABC"/>
    <w:rsid w:val="098912D6"/>
    <w:rsid w:val="0AA77D06"/>
    <w:rsid w:val="0AD84D58"/>
    <w:rsid w:val="0B304DED"/>
    <w:rsid w:val="0B4A13D7"/>
    <w:rsid w:val="0B840A71"/>
    <w:rsid w:val="0D0D0278"/>
    <w:rsid w:val="0D68509E"/>
    <w:rsid w:val="0DAC0F09"/>
    <w:rsid w:val="0DB4252B"/>
    <w:rsid w:val="0E4E32DB"/>
    <w:rsid w:val="0E5375A5"/>
    <w:rsid w:val="0E61722F"/>
    <w:rsid w:val="0E807EAE"/>
    <w:rsid w:val="0E905E21"/>
    <w:rsid w:val="0FB73D2F"/>
    <w:rsid w:val="0FFD2FC7"/>
    <w:rsid w:val="117930FC"/>
    <w:rsid w:val="123F24AA"/>
    <w:rsid w:val="12F910A0"/>
    <w:rsid w:val="13E66812"/>
    <w:rsid w:val="141C0605"/>
    <w:rsid w:val="14735B9D"/>
    <w:rsid w:val="149111E8"/>
    <w:rsid w:val="14984A52"/>
    <w:rsid w:val="14A21655"/>
    <w:rsid w:val="14D707F5"/>
    <w:rsid w:val="15192D80"/>
    <w:rsid w:val="17E17455"/>
    <w:rsid w:val="180426CF"/>
    <w:rsid w:val="195E5789"/>
    <w:rsid w:val="19B07A05"/>
    <w:rsid w:val="19B65F75"/>
    <w:rsid w:val="1A04339A"/>
    <w:rsid w:val="1A2C3570"/>
    <w:rsid w:val="1A9E5A71"/>
    <w:rsid w:val="1BCC2910"/>
    <w:rsid w:val="1C47272C"/>
    <w:rsid w:val="1D6705FA"/>
    <w:rsid w:val="1DE91B11"/>
    <w:rsid w:val="1DEE051D"/>
    <w:rsid w:val="205D44E7"/>
    <w:rsid w:val="20D42616"/>
    <w:rsid w:val="21132025"/>
    <w:rsid w:val="21227303"/>
    <w:rsid w:val="212E1225"/>
    <w:rsid w:val="216C1010"/>
    <w:rsid w:val="22043D6F"/>
    <w:rsid w:val="232748D0"/>
    <w:rsid w:val="24173ACF"/>
    <w:rsid w:val="24185025"/>
    <w:rsid w:val="243A3394"/>
    <w:rsid w:val="25F5288B"/>
    <w:rsid w:val="269B73AC"/>
    <w:rsid w:val="26FE3755"/>
    <w:rsid w:val="277246F6"/>
    <w:rsid w:val="28427D0B"/>
    <w:rsid w:val="28AB0E16"/>
    <w:rsid w:val="29A75C89"/>
    <w:rsid w:val="2AA01F64"/>
    <w:rsid w:val="2B0F5AA2"/>
    <w:rsid w:val="2B29099F"/>
    <w:rsid w:val="2BBB05C3"/>
    <w:rsid w:val="2CA50672"/>
    <w:rsid w:val="2CAC0453"/>
    <w:rsid w:val="2CEF46B1"/>
    <w:rsid w:val="2D37362D"/>
    <w:rsid w:val="2DB32EFA"/>
    <w:rsid w:val="2FD7103B"/>
    <w:rsid w:val="2FDC0B4D"/>
    <w:rsid w:val="30AB4D93"/>
    <w:rsid w:val="30DF52A8"/>
    <w:rsid w:val="31727460"/>
    <w:rsid w:val="318A459F"/>
    <w:rsid w:val="33296443"/>
    <w:rsid w:val="335A4F88"/>
    <w:rsid w:val="339E6EA9"/>
    <w:rsid w:val="343B2F4B"/>
    <w:rsid w:val="345179FF"/>
    <w:rsid w:val="34A31F36"/>
    <w:rsid w:val="350B1166"/>
    <w:rsid w:val="35217AB6"/>
    <w:rsid w:val="37603A5F"/>
    <w:rsid w:val="37894ED1"/>
    <w:rsid w:val="37D27A83"/>
    <w:rsid w:val="37F752D7"/>
    <w:rsid w:val="3904084E"/>
    <w:rsid w:val="39B10FB5"/>
    <w:rsid w:val="39E75A27"/>
    <w:rsid w:val="3A52002D"/>
    <w:rsid w:val="3A812121"/>
    <w:rsid w:val="3A8A671A"/>
    <w:rsid w:val="3AFB7CD2"/>
    <w:rsid w:val="3B435A0C"/>
    <w:rsid w:val="3B844B5E"/>
    <w:rsid w:val="3D61032D"/>
    <w:rsid w:val="3DB85315"/>
    <w:rsid w:val="3E042FC2"/>
    <w:rsid w:val="3E4112E1"/>
    <w:rsid w:val="3F690228"/>
    <w:rsid w:val="3F75732D"/>
    <w:rsid w:val="3FD96410"/>
    <w:rsid w:val="40A6047C"/>
    <w:rsid w:val="413948D3"/>
    <w:rsid w:val="42B45D29"/>
    <w:rsid w:val="433A08AD"/>
    <w:rsid w:val="44761D0E"/>
    <w:rsid w:val="44C26036"/>
    <w:rsid w:val="44DA134B"/>
    <w:rsid w:val="45802513"/>
    <w:rsid w:val="46B62BBA"/>
    <w:rsid w:val="476E1671"/>
    <w:rsid w:val="47FA1F50"/>
    <w:rsid w:val="4838425D"/>
    <w:rsid w:val="492C02C3"/>
    <w:rsid w:val="4A0E6F6A"/>
    <w:rsid w:val="4ADC40E1"/>
    <w:rsid w:val="4BE27F0A"/>
    <w:rsid w:val="4BF34132"/>
    <w:rsid w:val="4CA83805"/>
    <w:rsid w:val="4D063625"/>
    <w:rsid w:val="4E423558"/>
    <w:rsid w:val="4E656129"/>
    <w:rsid w:val="4EA221CF"/>
    <w:rsid w:val="4EC96D4E"/>
    <w:rsid w:val="4F30631E"/>
    <w:rsid w:val="4F786330"/>
    <w:rsid w:val="4FA02A93"/>
    <w:rsid w:val="50F43794"/>
    <w:rsid w:val="514009DD"/>
    <w:rsid w:val="514D6880"/>
    <w:rsid w:val="517E4570"/>
    <w:rsid w:val="52687158"/>
    <w:rsid w:val="528108B1"/>
    <w:rsid w:val="539C7B92"/>
    <w:rsid w:val="53D97DEF"/>
    <w:rsid w:val="53DD40B9"/>
    <w:rsid w:val="577F6D8C"/>
    <w:rsid w:val="57E53288"/>
    <w:rsid w:val="59251558"/>
    <w:rsid w:val="598F75DD"/>
    <w:rsid w:val="5A036009"/>
    <w:rsid w:val="5A15730F"/>
    <w:rsid w:val="5A4F64AD"/>
    <w:rsid w:val="5AB76059"/>
    <w:rsid w:val="5ADA4F6A"/>
    <w:rsid w:val="5BA929E0"/>
    <w:rsid w:val="5BE2525D"/>
    <w:rsid w:val="5BF26384"/>
    <w:rsid w:val="5C260E2F"/>
    <w:rsid w:val="5C451348"/>
    <w:rsid w:val="5E715815"/>
    <w:rsid w:val="5E787D32"/>
    <w:rsid w:val="609925E0"/>
    <w:rsid w:val="62FD0D1B"/>
    <w:rsid w:val="631F430E"/>
    <w:rsid w:val="63B31E0A"/>
    <w:rsid w:val="63CC2D76"/>
    <w:rsid w:val="64A964A5"/>
    <w:rsid w:val="660E4EA0"/>
    <w:rsid w:val="668A053F"/>
    <w:rsid w:val="66B74D3C"/>
    <w:rsid w:val="67773AC4"/>
    <w:rsid w:val="67A256A3"/>
    <w:rsid w:val="67AA29A7"/>
    <w:rsid w:val="68180C57"/>
    <w:rsid w:val="683005CD"/>
    <w:rsid w:val="68307350"/>
    <w:rsid w:val="685E551B"/>
    <w:rsid w:val="6A5F0356"/>
    <w:rsid w:val="6BF51E53"/>
    <w:rsid w:val="6C2A2362"/>
    <w:rsid w:val="6D033285"/>
    <w:rsid w:val="6E5A65D9"/>
    <w:rsid w:val="6E87189D"/>
    <w:rsid w:val="714125CE"/>
    <w:rsid w:val="71C50B09"/>
    <w:rsid w:val="724620DC"/>
    <w:rsid w:val="73326919"/>
    <w:rsid w:val="738844E4"/>
    <w:rsid w:val="738B6B2A"/>
    <w:rsid w:val="74FC563A"/>
    <w:rsid w:val="751A7F91"/>
    <w:rsid w:val="753872BB"/>
    <w:rsid w:val="76170D69"/>
    <w:rsid w:val="76222679"/>
    <w:rsid w:val="76A23E86"/>
    <w:rsid w:val="780361DB"/>
    <w:rsid w:val="7961719E"/>
    <w:rsid w:val="79B77FBE"/>
    <w:rsid w:val="7A2F7467"/>
    <w:rsid w:val="7A8F552E"/>
    <w:rsid w:val="7AA63174"/>
    <w:rsid w:val="7C363040"/>
    <w:rsid w:val="7CC36C87"/>
    <w:rsid w:val="7CE2712C"/>
    <w:rsid w:val="7F0B39A9"/>
    <w:rsid w:val="7FA77F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autoSpaceDN/>
      <w:snapToGrid/>
      <w:jc w:val="both"/>
    </w:pPr>
    <w:rPr>
      <w:rFonts w:ascii="Calibri" w:hAnsi="Calibri" w:eastAsia="宋体" w:cs="Calibri"/>
      <w:kern w:val="2"/>
      <w:sz w:val="21"/>
      <w:szCs w:val="21"/>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numPr>
        <w:ilvl w:val="1"/>
        <w:numId w:val="1"/>
      </w:numPr>
      <w:spacing w:before="260" w:after="260" w:line="416" w:lineRule="auto"/>
      <w:outlineLvl w:val="1"/>
    </w:pPr>
    <w:rPr>
      <w:rFonts w:ascii="微软雅黑" w:hAnsi="微软雅黑" w:eastAsia="微软雅黑" w:cs="微软雅黑"/>
      <w:b/>
      <w:bCs/>
      <w:sz w:val="28"/>
      <w:szCs w:val="28"/>
    </w:rPr>
  </w:style>
  <w:style w:type="paragraph" w:styleId="4">
    <w:name w:val="heading 3"/>
    <w:basedOn w:val="1"/>
    <w:next w:val="1"/>
    <w:qFormat/>
    <w:uiPriority w:val="0"/>
    <w:pPr>
      <w:keepNext/>
      <w:keepLines/>
      <w:spacing w:before="260" w:after="260" w:line="416" w:lineRule="auto"/>
      <w:outlineLvl w:val="2"/>
    </w:pPr>
    <w:rPr>
      <w:rFonts w:ascii="Arial" w:hAnsi="Arial" w:eastAsia="Times New Roman" w:cs="Arial"/>
      <w:b/>
      <w:bCs/>
      <w:sz w:val="32"/>
      <w:szCs w:val="32"/>
    </w:rPr>
  </w:style>
  <w:style w:type="paragraph" w:styleId="5">
    <w:name w:val="heading 5"/>
    <w:basedOn w:val="1"/>
    <w:next w:val="1"/>
    <w:link w:val="28"/>
    <w:qFormat/>
    <w:uiPriority w:val="0"/>
    <w:pPr>
      <w:keepNext/>
      <w:keepLines/>
      <w:spacing w:before="280" w:after="290" w:line="376" w:lineRule="auto"/>
      <w:outlineLvl w:val="4"/>
    </w:pPr>
    <w:rPr>
      <w:rFonts w:cs="Times New Roman"/>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Indent 2"/>
    <w:basedOn w:val="1"/>
    <w:link w:val="27"/>
    <w:qFormat/>
    <w:uiPriority w:val="0"/>
    <w:pPr>
      <w:spacing w:after="120" w:line="480" w:lineRule="auto"/>
      <w:ind w:left="420" w:leftChars="200"/>
    </w:pPr>
    <w:rPr>
      <w:rFonts w:ascii="宋体" w:cs="宋体"/>
      <w:kern w:val="0"/>
      <w:sz w:val="24"/>
      <w:szCs w:val="24"/>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30"/>
    <w:qFormat/>
    <w:uiPriority w:val="99"/>
    <w:pPr>
      <w:pBdr>
        <w:bottom w:val="single" w:color="auto" w:sz="6" w:space="1"/>
      </w:pBdr>
      <w:tabs>
        <w:tab w:val="center" w:pos="4153"/>
        <w:tab w:val="right" w:pos="8306"/>
      </w:tabs>
      <w:snapToGrid w:val="0"/>
      <w:jc w:val="center"/>
    </w:pPr>
    <w:rPr>
      <w:rFonts w:cs="Times New Roman"/>
      <w:sz w:val="18"/>
      <w:szCs w:val="18"/>
    </w:rPr>
  </w:style>
  <w:style w:type="paragraph" w:styleId="10">
    <w:name w:val="toc 1"/>
    <w:basedOn w:val="1"/>
    <w:next w:val="1"/>
    <w:qFormat/>
    <w:uiPriority w:val="0"/>
    <w:pPr>
      <w:tabs>
        <w:tab w:val="left" w:pos="840"/>
        <w:tab w:val="right" w:leader="dot" w:pos="8494"/>
      </w:tabs>
    </w:pPr>
    <w:rPr>
      <w:rFonts w:ascii="华文隶书" w:eastAsia="华文隶书" w:cs="华文隶书"/>
      <w:sz w:val="24"/>
      <w:szCs w:val="24"/>
    </w:rPr>
  </w:style>
  <w:style w:type="paragraph" w:styleId="11">
    <w:name w:val="toc 2"/>
    <w:basedOn w:val="1"/>
    <w:next w:val="1"/>
    <w:qFormat/>
    <w:uiPriority w:val="0"/>
    <w:pPr>
      <w:ind w:left="210"/>
      <w:jc w:val="left"/>
    </w:pPr>
    <w:rPr>
      <w:smallCaps/>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15">
    <w:name w:val="Strong"/>
    <w:basedOn w:val="14"/>
    <w:qFormat/>
    <w:uiPriority w:val="0"/>
    <w:rPr>
      <w:b/>
    </w:rPr>
  </w:style>
  <w:style w:type="character" w:styleId="16">
    <w:name w:val="page number"/>
    <w:qFormat/>
    <w:uiPriority w:val="0"/>
  </w:style>
  <w:style w:type="character" w:styleId="17">
    <w:name w:val="Hyperlink"/>
    <w:qFormat/>
    <w:uiPriority w:val="0"/>
    <w:rPr>
      <w:rFonts w:cs="Times New Roman"/>
      <w:color w:val="136EC2"/>
      <w:u w:val="single"/>
    </w:rPr>
  </w:style>
  <w:style w:type="character" w:customStyle="1" w:styleId="18">
    <w:name w:val="_Style 29"/>
    <w:unhideWhenUsed/>
    <w:qFormat/>
    <w:uiPriority w:val="99"/>
    <w:rPr>
      <w:color w:val="605E5C"/>
      <w:shd w:val="clear" w:color="auto" w:fill="E1DFDD"/>
    </w:rPr>
  </w:style>
  <w:style w:type="character" w:customStyle="1" w:styleId="19">
    <w:name w:val="标题 1 字符"/>
    <w:link w:val="2"/>
    <w:qFormat/>
    <w:uiPriority w:val="0"/>
    <w:rPr>
      <w:rFonts w:ascii="Calibri" w:hAnsi="Calibri" w:eastAsia="宋体" w:cs="Calibri"/>
      <w:b/>
      <w:bCs/>
      <w:kern w:val="44"/>
      <w:sz w:val="44"/>
      <w:szCs w:val="44"/>
      <w:lang w:val="en-US" w:eastAsia="zh-CN" w:bidi="ar-SA"/>
    </w:rPr>
  </w:style>
  <w:style w:type="paragraph" w:customStyle="1" w:styleId="20">
    <w:name w:val="列出段落1"/>
    <w:basedOn w:val="1"/>
    <w:qFormat/>
    <w:uiPriority w:val="0"/>
    <w:pPr>
      <w:ind w:firstLine="420" w:firstLineChars="200"/>
    </w:pPr>
    <w:rPr>
      <w:rFonts w:cs="Times New Roman"/>
      <w:szCs w:val="22"/>
    </w:rPr>
  </w:style>
  <w:style w:type="character" w:customStyle="1" w:styleId="21">
    <w:name w:val="标题 2 字符"/>
    <w:link w:val="3"/>
    <w:qFormat/>
    <w:uiPriority w:val="0"/>
    <w:rPr>
      <w:rFonts w:ascii="微软雅黑" w:hAnsi="微软雅黑" w:eastAsia="微软雅黑" w:cs="微软雅黑"/>
      <w:b/>
      <w:bCs/>
      <w:kern w:val="2"/>
      <w:sz w:val="28"/>
      <w:szCs w:val="28"/>
      <w:lang w:val="en-US" w:eastAsia="zh-CN" w:bidi="ar-SA"/>
    </w:rPr>
  </w:style>
  <w:style w:type="paragraph" w:customStyle="1" w:styleId="22">
    <w:name w:val="列表段落1"/>
    <w:basedOn w:val="1"/>
    <w:qFormat/>
    <w:uiPriority w:val="0"/>
    <w:pPr>
      <w:ind w:firstLine="420" w:firstLineChars="200"/>
    </w:pPr>
  </w:style>
  <w:style w:type="paragraph" w:customStyle="1" w:styleId="23">
    <w:name w:val="[基本段落]"/>
    <w:basedOn w:val="1"/>
    <w:qFormat/>
    <w:uiPriority w:val="0"/>
    <w:pPr>
      <w:autoSpaceDE w:val="0"/>
      <w:autoSpaceDN w:val="0"/>
      <w:spacing w:line="288" w:lineRule="auto"/>
      <w:textAlignment w:val="center"/>
    </w:pPr>
    <w:rPr>
      <w:rFonts w:hint="eastAsia" w:ascii="宋体" w:hAnsi="宋体" w:cs="Times New Roman"/>
      <w:color w:val="000000"/>
      <w:kern w:val="0"/>
      <w:sz w:val="24"/>
      <w:szCs w:val="20"/>
      <w:lang w:val="zh-CN"/>
    </w:rPr>
  </w:style>
  <w:style w:type="paragraph" w:styleId="24">
    <w:name w:val="List Paragraph"/>
    <w:basedOn w:val="1"/>
    <w:link w:val="31"/>
    <w:qFormat/>
    <w:uiPriority w:val="34"/>
    <w:pPr>
      <w:widowControl/>
      <w:spacing w:after="200" w:line="252" w:lineRule="auto"/>
      <w:ind w:left="720"/>
      <w:jc w:val="left"/>
    </w:pPr>
    <w:rPr>
      <w:rFonts w:ascii="Cambria" w:hAnsi="Cambria" w:cs="Times New Roman"/>
      <w:kern w:val="0"/>
      <w:sz w:val="22"/>
      <w:szCs w:val="22"/>
      <w:lang w:eastAsia="en-US"/>
    </w:rPr>
  </w:style>
  <w:style w:type="paragraph" w:customStyle="1" w:styleId="25">
    <w:name w:val="[无段落样式]"/>
    <w:qFormat/>
    <w:uiPriority w:val="0"/>
    <w:pPr>
      <w:widowControl w:val="0"/>
      <w:autoSpaceDE w:val="0"/>
      <w:autoSpaceDN w:val="0"/>
      <w:snapToGrid/>
      <w:spacing w:line="288" w:lineRule="auto"/>
      <w:jc w:val="both"/>
      <w:textAlignment w:val="center"/>
    </w:pPr>
    <w:rPr>
      <w:rFonts w:hint="eastAsia" w:ascii="宋体" w:hAnsi="宋体" w:eastAsia="宋体" w:cs="Times New Roman"/>
      <w:color w:val="000000"/>
      <w:kern w:val="2"/>
      <w:sz w:val="24"/>
      <w:szCs w:val="22"/>
      <w:lang w:val="zh-CN" w:eastAsia="zh-CN" w:bidi="ar-SA"/>
    </w:rPr>
  </w:style>
  <w:style w:type="paragraph" w:customStyle="1" w:styleId="26">
    <w:name w:val="正文文本缩进 21"/>
    <w:basedOn w:val="1"/>
    <w:qFormat/>
    <w:uiPriority w:val="0"/>
    <w:pPr>
      <w:spacing w:after="120" w:line="480" w:lineRule="auto"/>
      <w:ind w:left="420" w:leftChars="200"/>
    </w:pPr>
    <w:rPr>
      <w:rFonts w:ascii="宋体" w:cs="宋体"/>
      <w:sz w:val="24"/>
      <w:szCs w:val="24"/>
    </w:rPr>
  </w:style>
  <w:style w:type="character" w:customStyle="1" w:styleId="27">
    <w:name w:val="正文文本缩进 2 字符"/>
    <w:link w:val="7"/>
    <w:qFormat/>
    <w:uiPriority w:val="0"/>
    <w:rPr>
      <w:rFonts w:ascii="宋体" w:hAnsi="Calibri" w:eastAsia="宋体" w:cs="宋体"/>
      <w:sz w:val="24"/>
      <w:szCs w:val="24"/>
      <w:lang w:val="en-US" w:eastAsia="zh-CN" w:bidi="ar-SA"/>
    </w:rPr>
  </w:style>
  <w:style w:type="character" w:customStyle="1" w:styleId="28">
    <w:name w:val="标题 5 字符"/>
    <w:link w:val="5"/>
    <w:semiHidden/>
    <w:qFormat/>
    <w:uiPriority w:val="0"/>
    <w:rPr>
      <w:rFonts w:ascii="Calibri" w:hAnsi="Calibri" w:cs="Calibri"/>
      <w:b/>
      <w:bCs/>
      <w:kern w:val="2"/>
      <w:sz w:val="28"/>
      <w:szCs w:val="28"/>
    </w:rPr>
  </w:style>
  <w:style w:type="character" w:customStyle="1" w:styleId="29">
    <w:name w:val="style171"/>
    <w:qFormat/>
    <w:uiPriority w:val="0"/>
    <w:rPr>
      <w:color w:val="FF0000"/>
    </w:rPr>
  </w:style>
  <w:style w:type="character" w:customStyle="1" w:styleId="30">
    <w:name w:val="页眉 字符"/>
    <w:link w:val="9"/>
    <w:qFormat/>
    <w:uiPriority w:val="99"/>
    <w:rPr>
      <w:rFonts w:ascii="Calibri" w:hAnsi="Calibri" w:cs="Calibri"/>
      <w:kern w:val="2"/>
      <w:sz w:val="18"/>
      <w:szCs w:val="18"/>
    </w:rPr>
  </w:style>
  <w:style w:type="character" w:customStyle="1" w:styleId="31">
    <w:name w:val="列表段落 字符"/>
    <w:link w:val="24"/>
    <w:qFormat/>
    <w:uiPriority w:val="34"/>
    <w:rPr>
      <w:rFonts w:ascii="Cambria" w:hAnsi="Cambria"/>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1721</Words>
  <Characters>1750</Characters>
  <Lines>1</Lines>
  <Paragraphs>1</Paragraphs>
  <TotalTime>3</TotalTime>
  <ScaleCrop>false</ScaleCrop>
  <LinksUpToDate>false</LinksUpToDate>
  <CharactersWithSpaces>2208</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2025-03-21T14:34:00Z</dcterms:created>
  <dc:creator>Roselind</dc:creator>
  <cp:lastModifiedBy>陈颖</cp:lastModifiedBy>
  <cp:lastPrinted>2025-10-10T06:16:00Z</cp:lastPrinted>
  <dcterms:modified xsi:type="dcterms:W3CDTF">2026-10-16T06:10:26Z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eyJoZGlkIjoiZWRlOGI0OWUyOTIzOWZiZDQ5ZWIwYTRjYjBlZDQ0NDAiLCJ1c2VySWQiOiI0Mjg2MTU2MjgifQ==</vt:lpwstr>
  </property>
  <property fmtid="{D5CDD505-2E9C-101B-9397-08002B2CF9AE}" pid="3" name="KSOProductBuildVer">
    <vt:lpwstr>2052-12.1.0.28802</vt:lpwstr>
  </property>
  <property fmtid="{D5CDD505-2E9C-101B-9397-08002B2CF9AE}" pid="4" name="ICV">
    <vt:lpwstr>011069D9BB5E4E47B7DE5F63B68F66A1_13</vt:lpwstr>
  </property>
</Properties>
</file>